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82a SGB 3 — Qualifizierungsgeld</w:t>
      </w:r>
    </w:p>
    <w:p>
      <w:r>
        <w:rPr>
          <w:color w:val="555555"/>
          <w:sz w:val="18"/>
        </w:rPr>
        <w:t xml:space="preserve">Sozialgesetzbuch (SGB) Drittes Buch (III) - Arbeitsförderung - (Artikel 1 des Gesetzes vom 24. März 1997, BGBl. I S. 594)</w:t>
      </w:r>
    </w:p>
    <w:p>
      <w:r>
        <w:rPr>
          <w:color w:val="555555"/>
          <w:sz w:val="18"/>
        </w:rPr>
        <w:t xml:space="preserve">Stand: 01.04.2024 (konsolidierte Textfassung, kein amtliches Inkrafttretensdatum)</w:t>
      </w:r>
    </w:p>
    <w:p>
      <w:r>
        <w:t xml:space="preserve">(1) Arbeitnehmerinnen und Arbeitnehmer können bei beruflicher Weiterbildung für die Dauer der Maßnahme ein Qualifizierungsgeld von der Agentur für Arbeit erhalten, wenn</w:t>
      </w:r>
    </w:p>
    <w:p>
      <w:pPr>
        <w:ind w:left="420"/>
      </w:pPr>
      <w:r>
        <w:t xml:space="preserve">1. die betrieblichen Voraussetzungen erfüllt sind,</w:t>
      </w:r>
    </w:p>
    <w:p>
      <w:pPr>
        <w:ind w:left="420"/>
      </w:pPr>
      <w:r>
        <w:t xml:space="preserve">2. die persönlichen Voraussetzungen erfüllt sind,</w:t>
      </w:r>
    </w:p>
    <w:p>
      <w:pPr>
        <w:ind w:left="420"/>
      </w:pPr>
      <w:r>
        <w:t xml:space="preserve">3. Fertigkeiten, Kenntnisse und Fähigkeiten vermittelt werden, die über ausschließlich arbeitsplatzbezogene kurzfristige Anpassungsfortbildungen hinausgehen,</w:t>
      </w:r>
    </w:p>
    <w:p>
      <w:pPr>
        <w:ind w:left="420"/>
      </w:pPr>
      <w:r>
        <w:t xml:space="preserve">4. der Träger der Maßnahme für die Förderung zugelassen ist und</w:t>
      </w:r>
    </w:p>
    <w:p>
      <w:pPr>
        <w:ind w:left="420"/>
      </w:pPr>
      <w:r>
        <w:t xml:space="preserve">5. die Maßnahme mehr als 120 Stunden dauert und maximal die Dauer einer Vollzeitmaßnahme nach § 180 Absatz 4 umfasst.</w:t>
      </w:r>
    </w:p>
    <w:p>
      <w:r>
        <w:t xml:space="preserve">(2) Die betrieblichen Voraussetzungen sind erfüllt, wenn</w:t>
      </w:r>
    </w:p>
    <w:p>
      <w:pPr>
        <w:ind w:left="420"/>
      </w:pPr>
      <w:r>
        <w:t xml:space="preserve">1. strukturwandelbedingte Qualifizierungsbedarfe im Betrieb bestehen und diese mindestens 20 Prozent der Arbeitnehmerinnen und Arbeitnehmer betreffen,</w:t>
      </w:r>
    </w:p>
    <w:p>
      <w:pPr>
        <w:ind w:left="420"/>
      </w:pPr>
      <w:r>
        <w:t xml:space="preserve">2. der Arbeitgeber die berufliche Weiterbildung finanziert und</w:t>
      </w:r>
    </w:p>
    <w:p>
      <w:pPr>
        <w:ind w:left="420"/>
      </w:pPr>
      <w:r>
        <w:t xml:space="preserve">3. beim Arbeitgeber durch eine Betriebsvereinbarung oder durch einen Tarifvertrag betriebsbezogene Regelungen getroffen wurden über</w:t>
      </w:r>
    </w:p>
    <w:p>
      <w:pPr>
        <w:ind w:left="780"/>
      </w:pPr>
      <w:r>
        <w:t xml:space="preserve">a) das Bestehen des strukturwandelbedingten Qualifizierungsbedarfs,</w:t>
      </w:r>
    </w:p>
    <w:p>
      <w:pPr>
        <w:ind w:left="780"/>
      </w:pPr>
      <w:r>
        <w:t xml:space="preserve">b) die damit verbundenen Perspektiven der Arbeitnehmerinnen und Arbeitnehmer für eine nachhaltige Beschäftigung im Betrieb und</w:t>
      </w:r>
    </w:p>
    <w:p>
      <w:pPr>
        <w:ind w:left="780"/>
      </w:pPr>
      <w:r>
        <w:t xml:space="preserve">c) die Inanspruchnahme des Qualifizierungsgeldes.</w:t>
      </w:r>
    </w:p>
    <w:p>
      <w:r>
        <w:t xml:space="preserve">Abweichend von Satz 1 Nummer 1 ist es in Betrieben mit weniger als 250 Arbeitnehmerinnen und Arbeitnehmern ausreichend, wenn mindestens 10 Prozent der Arbeitnehmerinnen und Arbeitnehmer von strukturwandelbedingtem Qualifizierungsbedarf betroffen sind. Die Anzahl der Arbeitnehmerinnen und Arbeitnehmer nach Satz 1 Nummer 1 und Satz 2 ist in dem Betrieb zu ermitteln, für den die Betriebsvereinbarung oder der Tarifvertrag abgeschlossen wurde. Der nach Satz 1 Nummer 1 oder Satz 2 ermittelte Anteil der betroffenen Arbeitnehmerinnen und Arbeitnehmer gilt für die Dauer von drei Jahren ab Antragstellung. Arbeitnehmerinnen und Arbeitnehmer dürfen nicht an den Kosten nach Satz 1 Nummer 2 beteiligt werden; zulässig ist eine Kostenübernahme durch Dritte. Abweichend von Satz 1 Nummer 3 ist in Betrieben mit weniger als zehn Arbeitnehmerinnen und Arbeitnehmern anstelle einer Betriebsvereinbarung oder eines Tarifvertrags eine schriftliche Erklärung des Arbeitgebers ausreichend.</w:t>
      </w:r>
    </w:p>
    <w:p>
      <w:r>
        <w:t xml:space="preserve">(3) Bei der Ausübung des Ermessens hat die Agentur für Arbeit die Notwendigkeit der strukturwandelbedingten Qualifizierungsbedarfe, die mit der beruflichen Weiterbildung verbundenen Beschäftigungsperspektiven und das Ausmaß der Inanspruchnahme nach § 323 Absatz 3 angemessen zu berücksichtigen.</w:t>
      </w:r>
    </w:p>
    <w:p>
      <w:r>
        <w:t xml:space="preserve">(4) Die persönlichen Voraussetzungen sind erfüllt, wenn</w:t>
      </w:r>
    </w:p>
    <w:p>
      <w:pPr>
        <w:ind w:left="420"/>
      </w:pPr>
      <w:r>
        <w:t xml:space="preserve">1. die Weiterbildung im Rahmen eines bestehenden Arbeitsverhältnisses durchgeführt wird,</w:t>
      </w:r>
    </w:p>
    <w:p>
      <w:pPr>
        <w:ind w:left="420"/>
      </w:pPr>
      <w:r>
        <w:t xml:space="preserve">2. die Arbeitnehmerin oder der Arbeitnehmer in den letzten vier Jahren vor Antragstellung nicht an einer nach dieser Vorschrift geförderten beruflichen Weiterbildung teilgenommen hat und</w:t>
      </w:r>
    </w:p>
    <w:p>
      <w:pPr>
        <w:ind w:left="420"/>
      </w:pPr>
      <w:r>
        <w:t xml:space="preserve">3. das Arbeitsverhältnis nicht gekündigt oder durch Aufhebungsvertrag aufgelöst ist.</w:t>
      </w:r>
    </w:p>
    <w:p>
      <w:r>
        <w:t xml:space="preserve">Die persönlichen Voraussetzungen sind auch erfüllt, wenn die Arbeitnehmerin oder der Arbeitnehmer während des Bezugs von Qualifizierungsgeld arbeitsunfähig wird, solange Anspruch auf Fortzahlung des Arbeitsentgelts im Krankheitsfall besteht oder ohne den Arbeitsausfall bestehen würde. § 98 Absatz 3 gilt entsprechend. Die persönlichen Voraussetzungen sind in Zeiten, in denen ein Anspruch der Arbeitnehmerin oder des Arbeitnehmers auf Urlaubsentgelt besteht, nicht erfüllt.</w:t>
      </w:r>
    </w:p>
    <w:p>
      <w:r>
        <w:t xml:space="preserve">(5) Eine Förderung ist nicht möglich, wenn</w:t>
      </w:r>
    </w:p>
    <w:p>
      <w:pPr>
        <w:ind w:left="420"/>
      </w:pPr>
      <w:r>
        <w:t xml:space="preserve">1. der Arbeitgeber auf Grund bundes- oder landesrechtlicher Regelungen zur Durchführung der Maßnahme verpflichtet ist oder</w:t>
      </w:r>
    </w:p>
    <w:p>
      <w:pPr>
        <w:ind w:left="420"/>
      </w:pPr>
      <w:r>
        <w:t xml:space="preserve">2. für die gleiche Maßnahme Leistungen nach § 82 beantragt wurden.</w:t>
      </w:r>
    </w:p>
    <w:p>
      <w:r>
        <w:t xml:space="preserve">Die §§ 107 und 108 gelten entsprechend, das Qualifizierungsgeld tritt an die Stelle des Kurzarbeitergeldes.</w:t>
      </w:r>
    </w:p>
    <w:p>
      <w:r>
        <w:t xml:space="preserve">(6) Behinderungsbedingt erforderliche Mehraufwendungen, die im Zusammenhang mit der Teilnahme an einer nach Absatz 1 geförderten Maßnahme entstehen, werden übernommen.</w:t>
      </w:r>
    </w:p>
    <w:p>
      <w:r>
        <w:t xml:space="preserve">(7) § 318 Absatz 1 findet mit der Maßgabe Anwendung, dass die Pflichten nur für den Arbeitgeber gelten, auch wenn die Maßnahme bei einem Träger durchgeführt wurde oder wird. § 318 Absatz 2 findet keine Anwendung.</w:t>
      </w:r>
    </w:p>
    <w:p>
      <w:r>
        <w:rPr>
          <w:color w:val="555555"/>
          <w:sz w:val="17"/>
        </w:rPr>
        <w:t xml:space="preserve">Zitiervorschlag: § 82a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https://recht.nulegal.eu/gesetze/SGB%203/82a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