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SGB 3 — Anordnungsermächtigung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Bundesagentur wird ermächtigt, durch Anordnung das Nähere zu bestimmen</w:t>
      </w:r>
    </w:p>
    <w:p>
      <w:pPr>
        <w:ind w:left="420"/>
      </w:pPr>
      <w:r>
        <w:t xml:space="preserve">1. über Art und Inhalt der berufsvorbereitenden Bildungsmaßnahmen und die hieran gestellten Anforderungen,</w:t>
      </w:r>
    </w:p>
    <w:p>
      <w:pPr>
        <w:ind w:left="420"/>
      </w:pPr>
      <w:r>
        <w:t xml:space="preserve">2. zu den Voraussetzungen für die Erstattung von Pauschalen, zum Verfahren der Erstattung von Pauschalen sowie zur Höhe von Pauschalen nach § 54 Nummer 3 sowie</w:t>
      </w:r>
    </w:p>
    <w:p>
      <w:pPr>
        <w:ind w:left="420"/>
      </w:pPr>
      <w:r>
        <w:t xml:space="preserve">3. über Voraussetzungen, Art, Umfang und Verfahren der Einstiegsqualifizierung.</w:t>
      </w:r>
    </w:p>
    <w:p>
      <w:r>
        <w:rPr>
          <w:color w:val="555555"/>
          <w:sz w:val="17"/>
        </w:rPr>
        <w:t xml:space="preserve">Zitiervorschlag: § 55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