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 SGB 3 — Maßnahmekosten</w:t>
      </w:r>
    </w:p>
    <w:p>
      <w:r>
        <w:rPr>
          <w:color w:val="555555"/>
          <w:sz w:val="18"/>
        </w:rPr>
        <w:t xml:space="preserve">Sozialgesetzbuch (SGB) Drittes Buch (III) - Arbeitsförderung - (Artikel 1 des Gesetzes vom 24. März 1997, BGBl. I S. 594)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einer berufsvorbereitenden Bildungsmaßnahme werden dem Träger als Maßnahmekosten erstattet:</w:t>
      </w:r>
    </w:p>
    <w:p>
      <w:pPr>
        <w:ind w:left="420"/>
      </w:pPr>
      <w:r>
        <w:t xml:space="preserve">1. die angemessenen Aufwendungen für das zur Durchführung der Maßnahme eingesetzte erforderliche Ausbildungs- und Betreuungspersonal, einschließlich dessen regelmäßiger fachlicher Weiterbildung, sowie für das erforderliche Leitungs- und Verwaltungspersonal,</w:t>
      </w:r>
    </w:p>
    <w:p>
      <w:pPr>
        <w:ind w:left="420"/>
      </w:pPr>
      <w:r>
        <w:t xml:space="preserve">2. die angemessenen Sachkosten, einschließlich der Kosten für Lernmittel und Arbeitskleidung, und die angemessenen Verwaltungskosten sowie</w:t>
      </w:r>
    </w:p>
    <w:p>
      <w:pPr>
        <w:ind w:left="420"/>
      </w:pPr>
      <w:r>
        <w:t xml:space="preserve">3. erfolgsbezogene Pauschalen bei Vermittlung von Teilnehmenden in eine betriebliche Berufsausbildung im Sinne des § 57 Absatz 1.</w:t>
      </w:r>
    </w:p>
    <w:p>
      <w:r>
        <w:rPr>
          <w:color w:val="555555"/>
          <w:sz w:val="17"/>
        </w:rPr>
        <w:t xml:space="preserve">Zitiervorschlag: § 54 SGB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https://recht.nulegal.eu/gesetze/SGB%203/54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