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453 SGB 3 — Gesetz zur Umsetzung der Richtlinie (EU) 2019/882 des Europäischen Parlaments und des Rates über die Barrierefreiheitsanforderungen für Produkte und Dienstleistungen und zur Änderung anderer Gesetze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01.04.2022 (konsolidierte Textfassung, kein amtliches Inkrafttretensdatum)</w:t>
      </w:r>
    </w:p>
    <w:p>
      <w:r>
        <w:t xml:space="preserve">§ 336 in der bis zum 31. März 2022 geltenden Fassung ist weiter anzuwenden, wenn die Deutsche Rentenversicherung Bund im Verfahren nach § 7a Absatz 1 des Vierten Buches in der bis zum 31. März 2022 geltenden Fassung die Versicherungspflicht nach diesem Buch durch Verwaltungsakt festgestellt hat.</w:t>
      </w:r>
    </w:p>
    <w:p>
      <w:r>
        <w:rPr>
          <w:color w:val="555555"/>
          <w:sz w:val="17"/>
        </w:rPr>
        <w:t xml:space="preserve">Zitiervorschlag: § 453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https://recht.nulegal.eu/gesetze/SGB%203/453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