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452 SGB 3 — Gesetz zur Regelung des Sozialen Entschädigungsrechts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Bei der Anwendung von § 26 Absatz 2 Nummer 1, § 156 Absatz 1 Satz 1 Nummer 2, § 345 Nummer 5 und § 347 Nummer 5 Buchstabe a gilt das Versorgungskrankengeld als Krankengeld der Sozialen Entschädigung.</w:t>
      </w:r>
    </w:p>
    <w:p>
      <w:r>
        <w:t xml:space="preserve">(2) Für Personen, die Leistungen nach dem Soldatenversorgungsgesetz in Verbindung mit dem Bundesversorgungsgesetz erhalten, gelten § 9 Absatz 3 Satz 1 Nummer 1, § 26 Absatz 2 Nummer 1, § 156 Absatz 1 Satz 1 Nummer 2, § 332 Absatz 1 Satz 1 Nummer 2, § 345 Nummer 5 und § 347 Nummer 5 Buchstabe a in der bis zum 31. Dezember 2023 geltenden Fassung weiter.</w:t>
      </w:r>
    </w:p>
    <w:p>
      <w:r>
        <w:rPr>
          <w:color w:val="555555"/>
          <w:sz w:val="17"/>
        </w:rPr>
        <w:t xml:space="preserve">Zitiervorschlag: § 452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https://recht.nulegal.eu/gesetze/SGB%203/452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