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SGB 3 — Vorrang der Vermittlung</w:t>
      </w:r>
    </w:p>
    <w:p>
      <w:r>
        <w:rPr>
          <w:color w:val="555555"/>
          <w:sz w:val="18"/>
        </w:rPr>
        <w:t xml:space="preserve">Sozialgesetzbuch (SGB) Drittes Buch (III) - Arbeitsförderung - (Artikel 1 des Gesetzes vom 24. März 1997, BGBl. I S. 594)</w:t>
      </w:r>
    </w:p>
    <w:p>
      <w:r>
        <w:rPr>
          <w:color w:val="555555"/>
          <w:sz w:val="18"/>
        </w:rPr>
        <w:t xml:space="preserve">Stand: 01.01.2023 (konsolidierte Textfassung, kein amtliches Inkrafttretensdatum)</w:t>
      </w:r>
    </w:p>
    <w:p>
      <w:r>
        <w:t xml:space="preserve">(1) Die Vermittlung in Ausbildung und Arbeit hat Vorrang vor den Leistungen zum Ersatz des Arbeitsentgelts bei Arbeitslosigkeit.</w:t>
      </w:r>
    </w:p>
    <w:p>
      <w:r>
        <w:t xml:space="preserve">(2) Der Vermittlungsvorrang gilt auch im Verhältnis zu den sonstigen Leistungen der aktiven Arbeitsförderung, es sei denn, die Leistung ist für eine dauerhafte Eingliederung erforderlich. Von der Erforderlichkeit für die dauerhafte Eingliederung ist insbesondere auszugehen, wenn Arbeitnehmerinnen und Arbeitnehmer mit fehlendem Berufsabschluss an einer nach § 81 geförderten beruflichen Weiterbildung teilnehmen oder voraussichtlich teilnehmen werden. Der Vermittlungsvorrang gilt nicht im Verhältnis zur Förderung von Existenzgründungen mit einem Gründungszuschuss nach § 93.</w:t>
      </w:r>
    </w:p>
    <w:p>
      <w:r>
        <w:rPr>
          <w:color w:val="555555"/>
          <w:sz w:val="17"/>
        </w:rPr>
        <w:t xml:space="preserve">Zitiervorschlag: § 4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