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354 SGB 3 — Grundsatz</w:t>
      </w:r>
    </w:p>
    <w:p>
      <w:r>
        <w:rPr>
          <w:color w:val="555555"/>
          <w:sz w:val="18"/>
        </w:rPr>
        <w:t xml:space="preserve">Sozialgesetzbuch (SGB) Drittes Buch (III) - Arbeitsförderung - (Artikel 1 des Gesetzes vom 24. März 1997, BGBl. I S. 594)</w:t>
      </w:r>
    </w:p>
    <w:p>
      <w:r>
        <w:rPr>
          <w:color w:val="555555"/>
          <w:sz w:val="18"/>
        </w:rPr>
        <w:t xml:space="preserve">Stand: 26.10.2022 (konsolidierte Textfassung, kein amtliches Inkrafttretensdatum)</w:t>
      </w:r>
    </w:p>
    <w:p>
      <w:r>
        <w:t xml:space="preserve">Die Mittel für die ergänzenden Leistungen nach § 102 werden einschließlich der Verwaltungskosten und der sonstigen Kosten, die mit der Gewährung dieser Leistungen zusammenhängen, in den durch Verordnung nach § 109 Absatz 2 bestimmten Wirtschaftszweigen durch Umlage aufgebracht. Die Umlage wird unter Berücksichtigung von Vereinbarungen der Tarifvertragsparteien der Wirtschaftszweige von Arbeitgebern oder gemeinsam von Arbeitgebern sowie Arbeitnehmerinnen und Arbeitnehmern aufgebracht und getrennt nach Zweigen des Baugewerbes und weiteren Wirtschaftszweigen abgerechnet.</w:t>
      </w:r>
    </w:p>
    <w:p>
      <w:r>
        <w:rPr>
          <w:color w:val="555555"/>
          <w:sz w:val="17"/>
        </w:rPr>
        <w:t xml:space="preserve">Zitiervorschlag: § 354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https://recht.nulegal.eu/gesetze/SGB%203/354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