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340 SGB 3 — Aufbringung der Mittel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Leistungen der Arbeitsförderung und die sonstigen Ausgaben der Bundesagentur werden durch Beiträge der Versicherungspflichtigen, der Arbeitgeber und Dritter (Beitrag zur Arbeitsförderung), Umlagen, Mittel des Bundes und sonstige Einnahmen finanziert.</w:t>
      </w:r>
    </w:p>
    <w:p>
      <w:r>
        <w:rPr>
          <w:color w:val="555555"/>
          <w:sz w:val="17"/>
        </w:rPr>
        <w:t xml:space="preserve">Zitiervorschlag: § 340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https://recht.nulegal.eu/gesetze/SGB%203/340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