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179 SGB 3 — Maßnahmezulassung</w:t>
      </w:r>
    </w:p>
    <w:p>
      <w:r>
        <w:rPr>
          <w:color w:val="555555"/>
          <w:sz w:val="18"/>
        </w:rPr>
        <w:t xml:space="preserve">Sozialgesetzbuch (SGB) Drittes Buch (III) - Arbeitsförderung - (Artikel 1 des Gesetzes vom 24. März 1997, BGBl. I S. 594)</w:t>
      </w:r>
    </w:p>
    <w:p>
      <w:r>
        <w:rPr>
          <w:color w:val="555555"/>
          <w:sz w:val="18"/>
        </w:rPr>
        <w:t xml:space="preserve">Stand: 01.10.2020 (konsolidierte Textfassung, kein amtliches Inkrafttretensdatum)</w:t>
      </w:r>
    </w:p>
    <w:p>
      <w:r>
        <w:t xml:space="preserve">(1) Eine Maßnahme ist von der fachkundigen Stelle zuzulassen, wenn sie</w:t>
      </w:r>
    </w:p>
    <w:p>
      <w:pPr>
        <w:ind w:left="420"/>
      </w:pPr>
      <w:r>
        <w:t xml:space="preserve">1. nach Gestaltung der Inhalte, der Methoden und Materialien ihrer Vermittlung sowie der Lehrorganisation eine erfolgreiche Teilnahme erwarten lässt und nach Lage und Entwicklung des Arbeitsmarktes zweckmäßig ist,</w:t>
      </w:r>
    </w:p>
    <w:p>
      <w:pPr>
        <w:ind w:left="420"/>
      </w:pPr>
      <w:r>
        <w:t xml:space="preserve">2. angemessene Teilnahmebedingungen bietet und die räumliche, personelle und technische Ausstattung die Durchführung der Maßnahme gewährleisten und</w:t>
      </w:r>
    </w:p>
    <w:p>
      <w:pPr>
        <w:ind w:left="420"/>
      </w:pPr>
      <w:r>
        <w:t xml:space="preserve">3. nach den Grundsätzen der Wirtschaftlichkeit und Sparsamkeit geplant und durchgeführt wird, insbesondere die Kosten und die Dauer angemessen sind; die Dauer ist angemessen, wenn sie sich auf den Umfang beschränkt, der notwendig ist, um das Maßnahmeziel zu erreichen.</w:t>
      </w:r>
    </w:p>
    <w:p>
      <w:r>
        <w:t xml:space="preserve">(2) Die Kosten einer Maßnahme nach § 45 Absatz 4 Satz 3 Nummer 1 und nach den §§ 81 und 82 sind angemessen, wenn sie sachgerecht ermittelt worden sind und die von der Bundesagentur für das jeweilige Maßnahme- oder Bildungsziel zweijährlich ermittelten durchschnittlichen Kostensätze nicht überschreiten oder die Überschreitung der durchschnittlichen Kostensätze auf notwendige besondere Aufwendungen zurückzuführen ist. Überschreiten die kalkulierten Maßnahmekosten aufgrund dieser Aufwendungen die durchschnittlichen Kostensätze um mehr als 25 Prozent, bedarf die Zulassung dieser Maßnahmen der Zustimmung der Bundesagentur.</w:t>
      </w:r>
    </w:p>
    <w:p>
      <w:r>
        <w:t xml:space="preserve">(3) Eine Maßnahme, die im Ausland durchgeführt wird, kann nur zugelassen werden, wenn die Durchführung im Ausland für das Erreichen des Maßnahmeziels besonders dienlich ist.</w:t>
      </w:r>
    </w:p>
    <w:p>
      <w:r>
        <w:rPr>
          <w:color w:val="555555"/>
          <w:sz w:val="17"/>
        </w:rPr>
        <w:t xml:space="preserve">Zitiervorschlag: § 179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