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SGB 3 — Grundsatz</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Träger bedürfen der Zulassung durch eine fachkundige Stelle, um Maßnahmen der Arbeitsförderung selbst durchzuführen oder durchführen zu lassen. Arbeitgeber, die ausschließlich betriebliche Maßnahmen oder betriebliche Teile von Maßnahmen durchführen, bedürfen keiner Zulassung.</w:t>
      </w:r>
    </w:p>
    <w:p>
      <w:r>
        <w:t xml:space="preserve">(2) Maßnahmen nach § 45 Absatz 4 Satz 3 Nummer 1 bedürfen der Zulassung nach § 179 durch eine fachkundige Stelle. Maßnahmen der beruflichen Weiterbildung nach den §§ 81 und 82 bedürfen der Zulassung nach den §§ 179 und 180.</w:t>
      </w:r>
    </w:p>
    <w:p>
      <w:r>
        <w:rPr>
          <w:color w:val="555555"/>
          <w:sz w:val="17"/>
        </w:rPr>
        <w:t xml:space="preserve">Zitiervorschlag: § 176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