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169 SGB 3 — Anspruchsübergang</w:t>
      </w:r>
    </w:p>
    <w:p>
      <w:r>
        <w:rPr>
          <w:color w:val="555555"/>
          <w:sz w:val="18"/>
        </w:rPr>
        <w:t xml:space="preserve">Sozialgesetzbuch (SGB) Drittes Buch (III) - Arbeitsförderung - (Artikel 1 des Gesetzes vom 24. März 1997, BGBl. I S. 594)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Ansprüche auf Arbeitsentgelt, die einen Anspruch auf Insolvenzgeld begründen, gehen mit dem Antrag auf Insolvenzgeld auf die Bundesagentur über. § 165 Absatz 2 Satz 3 gilt entsprechend. Die gegen die Arbeitnehmerin oder den Arbeitnehmer begründete Anfechtung nach der Insolvenzordnung findet gegen die Bundesagentur statt.</w:t>
      </w:r>
    </w:p>
    <w:p>
      <w:r>
        <w:rPr>
          <w:color w:val="555555"/>
          <w:sz w:val="17"/>
        </w:rPr>
        <w:t xml:space="preserve">Zitiervorschlag: § 169 SGB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https://recht.nulegal.eu/gesetze/SGB%203/169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