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SGB 3 — Einkommensanrechnung</w:t>
      </w:r>
    </w:p>
    <w:p>
      <w:r>
        <w:rPr>
          <w:color w:val="555555"/>
          <w:sz w:val="18"/>
        </w:rPr>
        <w:t xml:space="preserve">Sozialgesetzbuch (SGB) Drittes Buch (III) - Arbeitsförderung - (Artikel 1 des Gesetzes vom 24. März 1997, BGBl. I S. 594)</w:t>
      </w:r>
    </w:p>
    <w:p>
      <w:r>
        <w:rPr>
          <w:color w:val="555555"/>
          <w:sz w:val="18"/>
        </w:rPr>
        <w:t xml:space="preserve">Stand: 01.08.2024 (konsolidierte Textfassung, kein amtliches Inkrafttretensdatum)</w:t>
      </w:r>
    </w:p>
    <w:p>
      <w:r>
        <w:t xml:space="preserve">(1) Das Einkommen, das ein Mensch mit Behinderungen während einer Maßnahme in einer anerkannten Werkstatt für behinderte Menschen oder bei einem anderen Leistungsanbieter nach § 60 des Neunten Buches erzielt, wird nicht auf den Bedarf angerechnet.</w:t>
      </w:r>
    </w:p>
    <w:p>
      <w:r>
        <w:t xml:space="preserve">(2) Anrechnungsfrei bei der Einkommensanrechnung bleibt im Übrigen das Einkommen</w:t>
      </w:r>
    </w:p>
    <w:p>
      <w:pPr>
        <w:ind w:left="420"/>
      </w:pPr>
      <w:r>
        <w:t xml:space="preserve">1. des Menschen mit Behinderungen aus Waisenrenten, Waisengeld oder aus Unterhaltsleistungen bis zu 352 Euro monatlich,</w:t>
      </w:r>
    </w:p>
    <w:p>
      <w:pPr>
        <w:ind w:left="420"/>
      </w:pPr>
      <w:r>
        <w:t xml:space="preserve">2. der Eltern bis zu 4 623 Euro monatlich, des verwitweten Elternteils oder, bei getrennt lebenden Eltern, das Einkommen des Elternteils, bei dem der Mensch mit Behinderungen lebt, ohne Anrechnung des Einkommens des anderen Elternteils, bis zu 2 880 Euro monatlich und</w:t>
      </w:r>
    </w:p>
    <w:p>
      <w:pPr>
        <w:ind w:left="420"/>
      </w:pPr>
      <w:r>
        <w:t xml:space="preserve">3. der Ehegattin oder des Ehegatten oder der Lebenspartnerin oder des Lebenspartners bis zu 2 880 Euro monatlich.</w:t>
      </w:r>
    </w:p>
    <w:p>
      <w:r>
        <w:rPr>
          <w:color w:val="555555"/>
          <w:sz w:val="17"/>
        </w:rPr>
        <w:t xml:space="preserve">Zitiervorschlag: § 126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