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120 SGB 3 — Vorbeschäftigungszeit für das Übergangsgeld</w:t>
      </w:r>
    </w:p>
    <w:p>
      <w:r>
        <w:rPr>
          <w:color w:val="555555"/>
          <w:sz w:val="18"/>
        </w:rPr>
        <w:t xml:space="preserve">Sozialgesetzbuch (SGB) Drittes Buch (III) - Arbeitsförderung - (Artikel 1 des Gesetzes vom 24. März 1997, BGBl. I S. 594)</w:t>
      </w:r>
    </w:p>
    <w:p>
      <w:r>
        <w:rPr>
          <w:color w:val="555555"/>
          <w:sz w:val="18"/>
        </w:rPr>
        <w:t xml:space="preserve">Stand: 25.06.2023 (konsolidierte Textfassung, kein amtliches Inkrafttretensdatum)</w:t>
      </w:r>
    </w:p>
    <w:p>
      <w:r>
        <w:t xml:space="preserve">(1) Die Voraussetzung der Vorbeschäftigungszeit für das Übergangsgeld ist erfüllt, wenn der Mensch mit Behinderungen innerhalb der letzten drei Jahre vor Beginn der Teilnahme</w:t>
      </w:r>
    </w:p>
    <w:p>
      <w:pPr>
        <w:ind w:left="420"/>
      </w:pPr>
      <w:r>
        <w:t xml:space="preserve">1. mindestens zwölf Monate in einem Versicherungspflichtverhältnis gestanden hat oder</w:t>
      </w:r>
    </w:p>
    <w:p>
      <w:pPr>
        <w:ind w:left="420"/>
      </w:pPr>
      <w:r>
        <w:t xml:space="preserve">2. die Voraussetzungen für einen Anspruch auf Arbeitslosengeld erfüllt und Leistungen beantragt hat.</w:t>
      </w:r>
    </w:p>
    <w:p>
      <w:r>
        <w:t xml:space="preserve">(2) Der Zeitraum von drei Jahren gilt nicht für Berufsrückkehrende mit Behinderungen. Er verlängert sich um die Dauer einer Beschäftigung als Arbeitnehmerin oder Arbeitnehmer im Ausland, die für die weitere Ausübung des Berufes oder für den beruflichen Aufstieg nützlich und üblich ist, längstens jedoch um zwei Jahre.</w:t>
      </w:r>
    </w:p>
    <w:p>
      <w:r>
        <w:t xml:space="preserve">(3) Wenn der Mensch mit Behinderungen bereits an einer berufsvorbereitenden Bildungsmaßnahme teilgenommen hat und anschließend an einer Maßnahme der Berufsausbildung teilnimmt, so ist der Eintritt in die berufsvorbereitende Bildungsmaßnahme der maßgebliche Zeitpunkt für den Beginn der Teilnahme nach Absatz 1.</w:t>
      </w:r>
    </w:p>
    <w:p>
      <w:r>
        <w:rPr>
          <w:color w:val="555555"/>
          <w:sz w:val="17"/>
        </w:rPr>
        <w:t xml:space="preserve">Zitiervorschlag: § 120 SGB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https://recht.nulegal.eu/gesetze/SGB%203/120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