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 SGB 3 — Teilhabe am Arbeitsleben</w:t>
      </w:r>
    </w:p>
    <w:p>
      <w:r>
        <w:rPr>
          <w:color w:val="555555"/>
          <w:sz w:val="18"/>
        </w:rPr>
        <w:t xml:space="preserve">Sozialgesetzbuch (SGB) Drittes Buch (III) - Arbeitsförderung - (Artikel 1 des Gesetzes vom 24. März 1997, BGBl. I S. 594)</w:t>
      </w:r>
    </w:p>
    <w:p>
      <w:r>
        <w:rPr>
          <w:color w:val="555555"/>
          <w:sz w:val="18"/>
        </w:rPr>
        <w:t xml:space="preserve">Stand: 01.01.2022 (konsolidierte Textfassung, kein amtliches Inkrafttretensdatum)</w:t>
      </w:r>
    </w:p>
    <w:p>
      <w:r>
        <w:t xml:space="preserve">(1) Für Menschen mit Behinderungen können Leistungen zur Förderung der Teilhabe am Arbeitsleben erbracht werden, um ihre Erwerbsfähigkeit zu erhalten, zu verbessern, herzustellen oder wiederherzustellen und ihre Teilhabe am Arbeitsleben zu sichern, soweit Art oder Schwere der Behinderung dies erfordern.</w:t>
      </w:r>
    </w:p>
    <w:p>
      <w:r>
        <w:t xml:space="preserve">(2) Bei der Auswahl der Leistungen sind Eignung, Neigung, bisherige Tätigkeit sowie Lage und Entwicklung des Arbeitsmarktes angemessen zu berücksichtigen. Soweit erforderlich, ist auch die berufliche Eignung abzuklären oder eine Arbeitserprobung durchzuführen.</w:t>
      </w:r>
    </w:p>
    <w:p>
      <w:r>
        <w:rPr>
          <w:color w:val="555555"/>
          <w:sz w:val="17"/>
        </w:rPr>
        <w:t xml:space="preserve">Zitiervorschlag: § 112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