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 SGB 3 — Transfermaßnahmen</w:t>
      </w:r>
    </w:p>
    <w:p>
      <w:r>
        <w:rPr>
          <w:color w:val="555555"/>
          <w:sz w:val="18"/>
        </w:rPr>
        <w:t xml:space="preserve">Sozialgesetzbuch (SGB) Drittes Buch (III) - Arbeitsförderung - (Artikel 1 des Gesetzes vom 24. März 1997, BGBl. I S. 594)</w:t>
      </w:r>
    </w:p>
    <w:p>
      <w:r>
        <w:rPr>
          <w:color w:val="555555"/>
          <w:sz w:val="18"/>
        </w:rPr>
        <w:t xml:space="preserve">Stand: 30.05.2020 (konsolidierte Textfassung, kein amtliches Inkrafttretensdatum)</w:t>
      </w:r>
    </w:p>
    <w:p>
      <w:r>
        <w:t xml:space="preserve">(1) Nehmen Arbeitnehmerinnen und Arbeitnehmer, die auf Grund einer Betriebsänderung oder im Anschluss an die Beendigung eines Berufsausbildungsverhältnisses von Arbeitslosigkeit bedroht sind, an Transfermaßnahmen teil, wird diese Teilnahme gefördert, wenn</w:t>
      </w:r>
    </w:p>
    <w:p>
      <w:pPr>
        <w:ind w:left="420"/>
      </w:pPr>
      <w:r>
        <w:t xml:space="preserve">1. sich die Betriebsparteien im Vorfeld der Entscheidung über die Einführung von Transfermaßnahmen, insbesondere im Rahmen ihrer Verhandlungen über einen die Integration der Arbeitnehmerinnen und Arbeitnehmer fördernden Interessenausgleich oder Sozialplan nach § 112 des Betriebsverfassungsgesetzes, von der Agentur für Arbeit beraten lassen haben,</w:t>
      </w:r>
    </w:p>
    <w:p>
      <w:pPr>
        <w:ind w:left="420"/>
      </w:pPr>
      <w:r>
        <w:t xml:space="preserve">2. die Maßnahme von einem Dritten durchgeführt wird,</w:t>
      </w:r>
    </w:p>
    <w:p>
      <w:pPr>
        <w:ind w:left="420"/>
      </w:pPr>
      <w:r>
        <w:t xml:space="preserve">3. die Maßnahme der Eingliederung der Arbeitnehmerinnen und Arbeitnehmer in den Arbeitsmarkt dienen soll und</w:t>
      </w:r>
    </w:p>
    <w:p>
      <w:pPr>
        <w:ind w:left="420"/>
      </w:pPr>
      <w:r>
        <w:t xml:space="preserve">4. die Durchführung der Maßnahme gesichert ist.</w:t>
      </w:r>
    </w:p>
    <w:p>
      <w:r>
        <w:t xml:space="preserve">Transfermaßnahmen sind alle Maßnahmen zur Eingliederung von Arbeitnehmerinnen und Arbeitnehmern in den Arbeitsmarkt, an deren Finanzierung sich Arbeitgeber angemessen beteiligen. Als Betriebsänderung gilt eine Betriebsänderung im Sinne des § 111 des Betriebsverfassungsgesetzes, unabhängig von der Unternehmensgröße und unabhängig davon, ob im jeweiligen Betrieb das Betriebsverfassungsgesetz anzuwenden ist.</w:t>
      </w:r>
    </w:p>
    <w:p>
      <w:r>
        <w:t xml:space="preserve">(2) Die Förderung wird als Zuschuss geleistet. Der Zuschuss beträgt 50 Prozent der erforderlichen und angemessenen Maßnahmekosten, jedoch höchstens 2 500 Euro je geförderter Arbeitnehmerin oder gefördertem Arbeitnehmer.</w:t>
      </w:r>
    </w:p>
    <w:p>
      <w:r>
        <w:t xml:space="preserve">(3) Eine Förderung ist ausgeschlossen, wenn die Maßnahme dazu dient, die Arbeitnehmerin oder den Arbeitnehmer auf eine Anschlussbeschäftigung im selben Betrieb oder in einem anderen Betrieb des selben Unternehmens vorzubereiten oder, falls das Unternehmen einem Konzern angehört, auf eine Anschlussbeschäftigung in einem Betrieb eines anderen Konzernunternehmens des Konzerns vorzubereiten. Durch die Förderung darf der Arbeitgeber nicht von bestehenden Verpflichtungen entlastet werden. Von der Förderung ausgeschlossen sind Arbeitnehmerinnen und Arbeitnehmer des öffentlichen Dienstes mit Ausnahme der Beschäftigten von Unternehmen, die in selbständiger Rechtsform erwerbswirtschaftlich betrieben werden.</w:t>
      </w:r>
    </w:p>
    <w:p>
      <w:r>
        <w:t xml:space="preserve">(4) Während der Teilnahme an Transfermaßnahmen sind andere Leistungen der aktiven Arbeitsförderung mit gleichartiger Zielsetzung ausgeschlossen.</w:t>
      </w:r>
    </w:p>
    <w:p>
      <w:r>
        <w:rPr>
          <w:color w:val="555555"/>
          <w:sz w:val="17"/>
        </w:rPr>
        <w:t xml:space="preserve">Zitiervorschlag: § 110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