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107 SGB 3 — Anwendung anderer Vorschriften</w:t>
      </w:r>
    </w:p>
    <w:p>
      <w:r>
        <w:rPr>
          <w:color w:val="555555"/>
          <w:sz w:val="18"/>
        </w:rPr>
        <w:t xml:space="preserve">Sozialgesetzbuch (SGB) Drittes Buch (III) - Arbeitsförderung - (Artikel 1 des Gesetzes vom 24. März 1997, BGBl. I S. 594)</w:t>
      </w:r>
    </w:p>
    <w:p>
      <w:r>
        <w:rPr>
          <w:color w:val="555555"/>
          <w:sz w:val="18"/>
        </w:rPr>
        <w:t xml:space="preserve">Stand: 01.08.2019 (konsolidierte Textfassung, kein amtliches Inkrafttretensdatum)</w:t>
      </w:r>
    </w:p>
    <w:p>
      <w:r>
        <w:t xml:space="preserve">(1) § 159 Absatz 1 Satz 2 Nummer 8 über das Ruhen des Anspruchs auf Arbeitslosengeld wegen Sperrzeiten bei Meldeversäumnis gilt für den Anspruch auf Kurzarbeitergeld entsprechend.</w:t>
      </w:r>
    </w:p>
    <w:p>
      <w:r>
        <w:t xml:space="preserve">(2) § 156 über das Ruhen des Anspruchs auf Arbeitslosengeld bei Zusammentreffen mit anderen Sozialleistungen gilt für den Anspruch auf Kurzarbeitergeld entsprechend für die Fälle, in denen eine Altersrente als Vollrente zuerkannt ist.</w:t>
      </w:r>
    </w:p>
    <w:p>
      <w:r>
        <w:rPr>
          <w:color w:val="555555"/>
          <w:sz w:val="17"/>
        </w:rPr>
        <w:t xml:space="preserve">Zitiervorschlag: § 107 SGB 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https://recht.nulegal.eu/gesetze/SGB%203/107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