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SGB 2 — Achtes Gesetz zur Änderung des Zweiten Buches Sozialgesetzbuch – Ergänzung personalrechtlicher Bestimmungen</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Hat ein nach § 40a zur Erstattung verpflichteter Sozialleistungsträger in der Zeit vom 31. Oktober 2012 bis zum 5. Juni 2014 in Unkenntnis des Bestehens der Erstattungspflicht bereits an die leistungsberechtigte Person geleistet, entfällt der Erstattungsanspruch.</w:t>
      </w:r>
    </w:p>
    <w:p>
      <w:r>
        <w:t xml:space="preserve">(2) Eine spätere Zuweisung von Tätigkeiten in den gemeinsamen Einrichtungen, die nach § 44g Absatz 2 in der bis zum 31. Dezember 2014 geltenden Fassung erfolgt ist, gilt fort.</w:t>
      </w:r>
    </w:p>
    <w:p>
      <w:r>
        <w:rPr>
          <w:color w:val="555555"/>
          <w:sz w:val="17"/>
        </w:rPr>
        <w:t xml:space="preserve">Zitiervorschlag: § 79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