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48b SGB 2 — Zielvereinbarungen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Erreichung der Ziele nach diesem Buch schließen</w:t>
      </w:r>
    </w:p>
    <w:p>
      <w:pPr>
        <w:ind w:left="420"/>
      </w:pPr>
      <w:r>
        <w:t xml:space="preserve">1. das Bundesministerium für Arbeit und Soziales im Einvernehmen mit dem Bundesministerium der Finanzen mit der Bundesagentur,</w:t>
      </w:r>
    </w:p>
    <w:p>
      <w:pPr>
        <w:ind w:left="420"/>
      </w:pPr>
      <w:r>
        <w:t xml:space="preserve">2. die Bundesagentur und die kommunalen Träger mit den Geschäftsführerinnen und Geschäftsführern der gemeinsamen Einrichtungen,</w:t>
      </w:r>
    </w:p>
    <w:p>
      <w:pPr>
        <w:ind w:left="420"/>
      </w:pPr>
      <w:r>
        <w:t xml:space="preserve">3. das Bundesministerium für Arbeit und Soziales mit der zuständigen Landesbehörde sowie</w:t>
      </w:r>
    </w:p>
    <w:p>
      <w:pPr>
        <w:ind w:left="420"/>
      </w:pPr>
      <w:r>
        <w:t xml:space="preserve">4. die zuständige Landesbehörde mit den zugelassenen kommunalen Trägern</w:t>
      </w:r>
    </w:p>
    <w:p>
      <w:r>
        <w:t xml:space="preserve">Vereinbarungen ab. Die Vereinbarungen nach Satz 1 Nummer 2 bis 4 umfassen alle Leistungen dieses Buches. Die Beratungen über die Vereinbarung nach Satz 1 Nummer 3 führen die Kooperationsausschüsse nach § 18b. Im Bund-Länder-Ausschuss nach § 18c wird für die Vereinbarungen nach diesem Absatz über einheitliche Grundlagen beraten.</w:t>
      </w:r>
    </w:p>
    <w:p>
      <w:r>
        <w:t xml:space="preserve">(2) Die Vereinbarungen werden nach Beschlussfassung des Bundestages über das jährliche Haushaltsgesetz abgeschlossen.</w:t>
      </w:r>
    </w:p>
    <w:p>
      <w:r>
        <w:t xml:space="preserve">(3) Die Vereinbarungen umfassen insbesondere die Ziele der Verringerung der Hilfebedürftigkeit, Verbesserung der Integration in Erwerbstätigkeit und Vermeidung von langfristigem Leistungsbezug. Die Vereinbarungen nach Absatz 1 Satz 1 Nummer 2 bis 4 umfassen zusätzlich das Ziel der Verbesserung der sozialen Teilhabe.</w:t>
      </w:r>
    </w:p>
    <w:p>
      <w:r>
        <w:t xml:space="preserve">(4) Die Vereinbarungen nach Absatz 1 Satz 1 Nummer 4 sollen sich an den Vereinbarungen nach Absatz 1 Satz 1 Nummer 3 orientieren.</w:t>
      </w:r>
    </w:p>
    <w:p>
      <w:r>
        <w:t xml:space="preserve">(5) Für den Abschluss der Vereinbarungen und die Nachhaltung der Zielerreichung sind die Daten nach § 51b und die Kennzahlen nach § 48a Absatz 2 maßgeblich.</w:t>
      </w:r>
    </w:p>
    <w:p>
      <w:r>
        <w:t xml:space="preserve">(6) Die Vereinbarungen nach Absatz 1 Satz 1 Nummer 1 können</w:t>
      </w:r>
    </w:p>
    <w:p>
      <w:pPr>
        <w:ind w:left="420"/>
      </w:pPr>
      <w:r>
        <w:t xml:space="preserve">1. erforderliche Genehmigungen oder Zustimmungen des Bundesministeriums für Arbeit und Soziales ersetzen,</w:t>
      </w:r>
    </w:p>
    <w:p>
      <w:pPr>
        <w:ind w:left="420"/>
      </w:pPr>
      <w:r>
        <w:t xml:space="preserve">2. die Selbstbewirtschaftung von Haushaltsmitteln für Leistungen zur Eingliederung in Arbeit sowie für Verwaltungskosten zulassen.</w:t>
      </w:r>
    </w:p>
    <w:p>
      <w:r>
        <w:rPr>
          <w:color w:val="555555"/>
          <w:sz w:val="17"/>
        </w:rPr>
        <w:t xml:space="preserve">Zitiervorschlag: § 48b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https://recht.nulegal.eu/gesetze/SGB%202/48b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