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SGB 2 — Bedarfe für Unterkunft und Heizung</w:t>
      </w:r>
    </w:p>
    <w:p>
      <w:r>
        <w:rPr>
          <w:color w:val="555555"/>
          <w:sz w:val="18"/>
        </w:rPr>
        <w:t xml:space="preserve">Sozialgesetzbuch (SGB) Zweites Buch (II) - Grundsicherung für Arbeitsuchende</w:t>
      </w:r>
    </w:p>
    <w:p>
      <w:r>
        <w:rPr>
          <w:color w:val="555555"/>
          <w:sz w:val="18"/>
        </w:rPr>
        <w:t xml:space="preserve">Stand: 09.07.2026 (konsolidierte Textfassung, kein amtliches Inkrafttretensdatum)</w:t>
      </w:r>
    </w:p>
    <w:p>
      <w:r>
        <w:t xml:space="preserve">(1) Bedarfe für Unterkunft und Heizung werden in Höhe der tatsächlichen Aufwendungen anerkannt, soweit diese angemessen sind. Für die Anerkennung der Bedarfe für Unterkunft gilt eine Karenzzeit von einem Jahr ab Beginn des Monats, für den erstmals Leistungen nach diesem Buch bezogen werden. Innerhalb dieser Karenzzeit werden die Bedarfe für Unterkunft in Höhe der tatsächlichen Aufwendungen anerkannt. Wird der Leistungsbezug in der Karenzzeit für mindestens einen Monat unterbrochen, verlängert sich die Karenzzeit um volle Monate ohne Leistungsbezug. Eine neue Karenzzeit beginnt, wenn zuvor mindestens drei Jahre keine Leistungen nach diesem oder dem Zwölften Buch bezogen worden sind. Abweichend von den Sätzen 1 bis 3 werden tatsächliche Aufwendungen für die Unterkunft nicht als Bedarf anerkannt, soweit sie mehr als eineinhalbmal so hoch sind wie die abstrakt als angemessen geltenden Aufwendungen; nach einer Verminderung der Anzahl der Mitglieder der Bedarfsgemeinschaft ist Satz 9 anzuwenden. In der Karenzzeit können im Einzelfall höhere Aufwendungen für die Unterkunft anerkannt werden, wenn sie unabweisbar sind oder in Bedarfsgemeinschaften mit Kindern anfallen. Tatsächliche Aufwendungen für die Unterkunft gelten als unangemessen und die Sätze 2 und 3 gelten nicht, soweit</w:t>
      </w:r>
    </w:p>
    <w:p>
      <w:pPr>
        <w:ind w:left="420"/>
      </w:pPr>
      <w:r>
        <w:t xml:space="preserve">1. in dem für die Angemessenheitsprüfung maßgeblichen Gebiet eine Obergrenze für tatsächliche Aufwendungen bezogen auf einen Quadratmeter Wohnfläche bestimmt ist und die tatsächlichen Aufwendungen darüber liegen oder</w:t>
      </w:r>
    </w:p>
    <w:p>
      <w:pPr>
        <w:ind w:left="420"/>
      </w:pPr>
      <w:r>
        <w:t xml:space="preserve">2. die vereinbarte Miete die nach den §§ 556d bis 556g des Bürgerlichen Gesetzbuchs zulässige Miethöhe übersteigt; in diesem Fall ist die Mieterin oder der Mieter durch den zuständigen kommunalen Träger aufzufordern, den angenommenen Verstoß gegen die §§ 556d bis 556g des Bürgerlichen Gesetzbuchs zu rügen.</w:t>
      </w:r>
    </w:p>
    <w:p>
      <w:r>
        <w:t xml:space="preserve">Soweit die Aufwendungen für Heizung und, nach Ablauf der Karenzzeit, die Aufwendungen der Unterkunft den der Besonderheit des Einzelfalles angemessenen Umfang übersteigen, sind sie als Bedarf so lange anzuerkennen, wie es der oder dem alleinstehenden Leistungsberechtigten oder der Bedarfsgemeinschaft nicht möglich oder nicht zuzumuten ist, durch einen Wohnungswechsel, durch Vermieten oder auf andere Weise die Aufwendungen zu senken, in der Regel jedoch längstens für sechs Monate. Nach Ablauf der Karenzzeit ist Satz 9 mit der Maßgabe anzuwenden, dass der Zeitraum der Karenzzeit nicht auf die in Satz 9 genannte Frist anzurechnen ist. Verstirbt ein Mitglied der Bedarfs- oder Haushaltsgemeinschaft und waren die Aufwendungen für die Unterkunft und Heizung davor angemessen, ist die Senkung der Aufwendungen für die weiterhin bewohnte Unterkunft für die Dauer von mindestens zwölf Monaten nach dem Sterbemonat nicht zumutbar; Satz 6 ist nicht anzuwenden. Eine Absenkung der nach Satz 1 oder 8 unangemessenen Aufwendungen muss nicht gefordert werden, wenn diese unter Berücksichtigung der bei einem Wohnungswechsel zu erbringenden Leistungen unwirtschaftlich wäre.</w:t>
      </w:r>
    </w:p>
    <w:p>
      <w:r>
        <w:t xml:space="preserve">(1a) Die Angemessenheit der Aufwendungen für Unterkunft und Heizung wird für den Bewilligungszeitraum geprüft. Übersteigen die Aufwendungen für Unterkunft und Heizung den abstrakt angemessenen Umfang, teilt der kommunale Träger dies den Leistungsberechtigten mit und unterrichtet sie über die Dauer und die Voraussetzungen für die Anerkennung unangemessener Aufwendungen.</w:t>
      </w:r>
    </w:p>
    <w:p>
      <w:r>
        <w:t xml:space="preserve">(2) Als Bedarf für die Unterkunft werden auch unabweisbare Aufwendungen für Instandhaltung und Reparatur bei selbst bewohntem Wohneigentum im Sinne des § 12 Absatz 1 Satz 2 Nummer 5 anerkannt, soweit diese unter Berücksichtigung der im laufenden sowie den darauffolgenden elf Kalendermonaten anfallenden Aufwendungen insgesamt angemessen sind. Übersteigen unabweisbare Aufwendungen für Instandhaltung und Reparatur den Bedarf für die Unterkunft nach Satz 1, kann der kommunale Träger zur Deckung dieses Teils der Aufwendungen ein Darlehen erbringen, das dinglich gesichert werden soll. Für die Bedarfe nach Satz 1 gilt Absatz 1 Satz 2 bis 4 nicht.</w:t>
      </w:r>
    </w:p>
    <w:p>
      <w:r>
        <w:t xml:space="preserve">(3) Rückzahlungen und Guthaben, die dem Bedarf für Unterkunft und Heizung zuzuordnen sind, mindern die Aufwendungen für Unterkunft und Heizung nach dem Monat der Rückzahlung oder der Gutschrift; Rückzahlungen, die sich auf die Kosten für Haushaltsenergie oder nicht anerkannte Aufwendungen für Unterkunft und Heizung beziehen, bleiben außer Betracht.</w:t>
      </w:r>
    </w:p>
    <w:p>
      <w:r>
        <w:t xml:space="preserve">(4) Vor Abschluss eines Vertrages über eine neue Unterkunft soll die leistungsberechtigte Person die Zusicherung des für die neue Unterkunft örtlich zuständigen kommunalen Trägers zur Berücksichtigung der Aufwendungen für die neue Unterkunft einholen. Bei einem Umzug in ein anderes für die Prüfung der Angemessenheit maßgebliches Gebiet sichert der für die neue Unterkunft örtlich zuständige kommunale Träger die Berücksichtigung der Aufwendungen für die neue Unterkunft zu, wenn diese angemessen sind. Höhere als angemessene Aufwendungen für die Unterkunft werden nach einem Umzug nur dann als Bedarf anerkannt, wenn der nach Satz 1 zuständige Träger die Anerkennung vorab schriftlich zugesichert hat. Bei einem Umzug innerhalb des für die Prüfung der Angemessenheit maßgeblichen Gebiets wird höchstens der bisherige Bedarf für die Unterkunft anerkannt, wenn der Umzug nicht erforderlich ist oder war.</w:t>
      </w:r>
    </w:p>
    <w:p>
      <w:r>
        <w:t xml:space="preserve">(5) Sofern Personen, die das 25. Lebensjahr noch nicht vollendet haben, umziehen, werden Bedarfe für Unterkunft und Heizung für die Zeit nach einem Umzug bis zur Vollendung des 25. Lebensjahres nur anerkannt, wenn der kommunale Träger dies vor Abschluss des Vertrages über die Unterkunft zugesichert hat. Der kommunale Träger ist zur Zusicherung verpflichtet, wenn</w:t>
      </w:r>
    </w:p>
    <w:p>
      <w:pPr>
        <w:ind w:left="420"/>
      </w:pPr>
      <w:r>
        <w:t xml:space="preserve">1. die oder der Betroffene aus schwerwiegenden sozialen Gründen nicht auf die Wohnung der Eltern oder eines Elternteils verwiesen werden kann,</w:t>
      </w:r>
    </w:p>
    <w:p>
      <w:pPr>
        <w:ind w:left="420"/>
      </w:pPr>
      <w:r>
        <w:t xml:space="preserve">2. der Bezug der Unterkunft zur Eingliederung in den Arbeitsmarkt erforderlich ist oder</w:t>
      </w:r>
    </w:p>
    <w:p>
      <w:pPr>
        <w:ind w:left="420"/>
      </w:pPr>
      <w:r>
        <w:t xml:space="preserve">3. ein sonstiger, ähnlich schwerwiegender Grund vorliegt.</w:t>
      </w:r>
    </w:p>
    <w:p>
      <w:r>
        <w:t xml:space="preserve">Unter den Voraussetzungen des Satzes 2 kann vom Erfordernis der Zusicherung abgesehen werden, wenn es der oder dem Betroffenen aus wichtigem Grund nicht zumutbar war, die Zusicherung einzuholen. Bedarfe für Unterkunft und Heizung werden bei Personen, die das 25. Lebensjahr noch nicht vollendet haben, nicht anerkannt, wenn diese vor der Beantragung von Leistungen in eine Unterkunft in der Absicht umziehen, die Voraussetzungen für die Gewährung der Leistungen herbeizuführen.</w:t>
      </w:r>
    </w:p>
    <w:p>
      <w:r>
        <w:t xml:space="preserve">(6) Wohnungsbeschaffungskosten und Umzugskosten können bei vorheriger Zusicherung durch den bis zum Umzug örtlich zuständigen kommunalen Träger als Bedarf anerkannt werden; Aufwendungen für eine Mietkaution und für den Erwerb von Genossenschaftsanteilen können bei vorheriger Zusicherung durch den am Ort der neuen Unterkunft zuständigen kommunalen Träger als Bedarf anerkannt werden. Die Zusicherung soll erteilt werden, wenn der Umzug durch den kommunalen Träger veranlasst oder aus anderen Gründen notwendig ist und wenn ohne die Zusicherung eine Unterkunft in einem angemessenen Zeitraum nicht gefunden werden kann. Aufwendungen für eine Mietkaution und für Genossenschaftsanteile sollen als Darlehen erbracht werden.</w:t>
      </w:r>
    </w:p>
    <w:p>
      <w:r>
        <w:t xml:space="preserve">(7) Soweit Grundsicherungsgeld für den Bedarf für Unterkunft und Heizung geleistet wird, ist es auf Antrag der leistungsberechtigten Person an den Vermieter oder andere Empfangsberechtigte zu zahlen. Es soll an den Vermieter oder andere Empfangsberechtigte gezahlt werden, wenn die zweckentsprechende Verwendung durch die leistungsberechtigte Person nicht sichergestellt ist. Das ist insbesondere der Fall, wenn</w:t>
      </w:r>
    </w:p>
    <w:p>
      <w:pPr>
        <w:ind w:left="420"/>
      </w:pPr>
      <w:r>
        <w:t xml:space="preserve">1. Mietrückstände bestehen, die zu einer außerordentlichen Kündigung des Mietverhältnisses berechtigen,</w:t>
      </w:r>
    </w:p>
    <w:p>
      <w:pPr>
        <w:ind w:left="420"/>
      </w:pPr>
      <w:r>
        <w:t xml:space="preserve">2. Energiekostenrückstände bestehen, die zu einer Unterbrechung der Energieversorgung berechtigen,</w:t>
      </w:r>
    </w:p>
    <w:p>
      <w:pPr>
        <w:ind w:left="420"/>
      </w:pPr>
      <w:r>
        <w:t xml:space="preserve">3. konkrete Anhaltspunkte für ein krankheits- oder suchtbedingtes Unvermögen der leistungsberechtigten Person bestehen, die Mittel zweckentsprechend zu verwenden, oder</w:t>
      </w:r>
    </w:p>
    <w:p>
      <w:pPr>
        <w:ind w:left="420"/>
      </w:pPr>
      <w:r>
        <w:t xml:space="preserve">4. konkrete Anhaltspunkte dafür bestehen, dass die im Schuldnerverzeichnis eingetragene leistungsberechtigte Person die Mittel nicht zweckentsprechend verwendet,</w:t>
      </w:r>
    </w:p>
    <w:p>
      <w:pPr>
        <w:ind w:left="420"/>
      </w:pPr>
      <w:r>
        <w:t xml:space="preserve">5. in den Fällen des § 7b Absatz 4 eine nicht erreichbare Person Leistungen erhält oder mit anderen Personen in einer Bedarfsgemeinschaft lebt.</w:t>
      </w:r>
    </w:p>
    <w:p>
      <w:r>
        <w:t xml:space="preserve">Im Fall des Satzes 3 Nummer 5 ist der auf die nicht erreichbare Person entfallende Anteil der Bedarfe für Unterkunft und Heizung auf die übrigen Mitglieder der Bedarfsgemeinschaft zu verteilen. Der kommunale Träger hat die leistungsberechtigte Person über eine Zahlung der Leistungen für die Unterkunft und Heizung an den Vermieter oder andere Empfangsberechtigte schriftlich zu unterrichten.</w:t>
      </w:r>
    </w:p>
    <w:p>
      <w:r>
        <w:t xml:space="preserve">(8) Sofern Grundsicherungsgeld für den Bedarf für Unterkunft und Heizung erbracht wird, können auch Schulden übernommen werden, soweit dies zur Sicherung der Unterkunft oder zur Behebung einer vergleichbaren Notlage gerechtfertigt ist. Sie sollen übernommen werden, wenn dies gerechtfertigt und notwendig ist und sonst Wohnungslosigkeit einzutreten droht. Vermögen nach § 12 Absatz 2 Satz 1 ist vorrangig einzusetzen. Geldleistungen sollen als Darlehen erbracht werden.</w:t>
      </w:r>
    </w:p>
    <w:p>
      <w:r>
        <w:t xml:space="preserve">(9) Geht bei einem Gericht eine Klage auf Räumung von Wohnraum im Falle der Kündigung des Mietverhältnisses nach § 543 Absatz 1, 2 Satz 1 Nummer 3 in Verbindung mit § 569 Absatz 3 des Bürgerlichen Gesetzbuchs ein, teilt das Gericht dem örtlich zuständigen Träger nach diesem Buch oder der von diesem beauftragten Stelle zur Wahrnehmung der in Absatz 8 bestimmten Aufgaben unverzüglich Folgendes mit:</w:t>
      </w:r>
    </w:p>
    <w:p>
      <w:pPr>
        <w:ind w:left="420"/>
      </w:pPr>
      <w:r>
        <w:t xml:space="preserve">1. den Tag des Eingangs der Klage,</w:t>
      </w:r>
    </w:p>
    <w:p>
      <w:pPr>
        <w:ind w:left="420"/>
      </w:pPr>
      <w:r>
        <w:t xml:space="preserve">2. die Namen und die Anschriften der Parteien,</w:t>
      </w:r>
    </w:p>
    <w:p>
      <w:pPr>
        <w:ind w:left="420"/>
      </w:pPr>
      <w:r>
        <w:t xml:space="preserve">3. die Höhe der monatlich zu entrichtenden Miete,</w:t>
      </w:r>
    </w:p>
    <w:p>
      <w:pPr>
        <w:ind w:left="420"/>
      </w:pPr>
      <w:r>
        <w:t xml:space="preserve">4. die Höhe des geltend gemachten Mietrückstandes und der geltend gemachten Entschädigung und</w:t>
      </w:r>
    </w:p>
    <w:p>
      <w:pPr>
        <w:ind w:left="420"/>
      </w:pPr>
      <w:r>
        <w:t xml:space="preserve">5. den Termin zur mündlichen Verhandlung, sofern dieser bereits bestimmt ist.</w:t>
      </w:r>
    </w:p>
    <w:p>
      <w:r>
        <w:t xml:space="preserve">Außerdem kann der Tag der Rechtshängigkeit mitgeteilt werden. Die Übermittlung unterbleibt, wenn die Nichtzahlung der Miete nach dem Inhalt der Klageschrift offensichtlich nicht auf Zahlungsunfähigkeit der Mieterin oder des Mieters beruht.</w:t>
      </w:r>
    </w:p>
    <w:p>
      <w:r>
        <w:t xml:space="preserve">(10) Zur Beurteilung der Angemessenheit der Aufwendungen für Unterkunft und Heizung nach Absatz 1 Satz 1 ist die Bildung einer Gesamtangemessenheitsgrenze zulässig. Dabei kann für die Aufwendungen für Heizung der Wert berücksichtigt werden, der bei einer gesonderten Beurteilung der Angemessenheit der Aufwendungen für Unterkunft und der Aufwendungen für Heizung ohne Prüfung der Angemessenheit im Einzelfall höchstens anzuerkennen wäre. Absatz 1 Satz 6 bis 10 gilt entsprechend.</w:t>
      </w:r>
    </w:p>
    <w:p>
      <w:r>
        <w:t xml:space="preserve">(11) Die für die Erstellung von Mietspiegeln nach § 558c Absatz 1 des Bürgerlichen Gesetzbuchs nach Landesrecht zuständigen Behörden sind befugt, die in Artikel 238 § 2 Absatz 2 Nummer 1 Buchstabe a, d und e des Einführungsgesetzes zum Bürgerlichen Gesetzbuche genannten Daten zu verarbeiten, soweit dies für die Erstellung von Übersichten über die Angemessenheit von Aufwendungen für eine Unterkunft nach Absatz 1 Satz 1 erforderlich ist. Erstellen die nach Landesrecht zuständigen Behörden solche Übersichten nicht, so sind sie befugt, die Daten nach Satz 1 auf Ersuchen an die kommunalen Träger der Grundsicherung für Arbeitsuchende für ihren örtlichen Zuständigkeitsbereich zu übermitteln, soweit dies für die Erstellung von Übersichten über die Angemessenheit von Aufwendungen für die Unterkunft erforderlich ist. Werden den kommunalen Trägern der Grundsicherung für Arbeitsuchende die Übersichten nicht zur Verfügung gestellt, so sind sie befugt, die Daten nach Satz 1 für ihren örtlichen Zuständigkeitsbereich bei den nach Landesrecht für die Erstellung von Mietspiegeln zuständigen Behörden zu erheben und in sonstiger Weise zu verarbeiten, soweit dies für die Erstellung von Übersichten über und die Bestimmung der Angemessenheit von Aufwendungen für die Unterkunft nach Absatz 1 Satz 1 erforderlich ist.</w:t>
      </w:r>
    </w:p>
    <w:p>
      <w:r>
        <w:t xml:space="preserve">(12) Die Daten nach Absatz 11 Satz 1 und 3 sind zu löschen, wenn sie für die dort genannten Zwecke nicht mehr erforderlich sind.</w:t>
      </w:r>
    </w:p>
    <w:p>
      <w:r>
        <w:rPr>
          <w:color w:val="555555"/>
          <w:sz w:val="17"/>
        </w:rPr>
        <w:t xml:space="preserve">Zitiervorschlag: § 22 SGB 2</w:t>
      </w:r>
    </w:p>
    <w:p>
      <w:r>
        <w:rPr>
          <w:color w:val="555555"/>
          <w:sz w:val="17"/>
        </w:rPr>
        <w:t xml:space="preserve">Quelle: Bundesamt für Justiz, abgerufen 09.07.2026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