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SGB 2 — Zumutbarkeit</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Einer erwerbsfähigen leistungsberechtigten Person ist jede Arbeit zumutbar, es sei denn, dass</w:t>
      </w:r>
    </w:p>
    <w:p>
      <w:pPr>
        <w:ind w:left="420"/>
      </w:pPr>
      <w:r>
        <w:t xml:space="preserve">1. sie zu der bestimmten Arbeit körperlich, geistig oder seelisch nicht in der Lage ist,</w:t>
      </w:r>
    </w:p>
    <w:p>
      <w:pPr>
        <w:ind w:left="420"/>
      </w:pPr>
      <w:r>
        <w:t xml:space="preserve">2. die Ausübung der Arbeit die künftige Ausübung der bisherigen überwiegenden Arbeit wesentlich erschweren würde, weil die bisherige Tätigkeit besondere körperliche Anforderungen stellt,</w:t>
      </w:r>
    </w:p>
    <w:p>
      <w:pPr>
        <w:ind w:left="420"/>
      </w:pPr>
      <w:r>
        <w:t xml:space="preserve">3. die Ausübung der Arbeit die Erziehung ihres Kindes oder des Kindes ihrer Partnerin oder ihres Partners gefährden würde; die Erziehung eines Kindes, das den 14. Lebensmonat vollendet hat, ist in der Regel nicht gefährdet, soweit die Betreuung in einer Tageseinrichtung oder in Tagespflege im Sinne der Vorschriften des Achten Buches oder auf sonstige Weise sichergestellt ist; die zuständigen kommunalen Träger sollen darauf hinwirken, dass erwerbsfähigen Erziehenden vorrangig ein Platz zur Tagesbetreuung des Kindes angeboten wird,</w:t>
      </w:r>
    </w:p>
    <w:p>
      <w:pPr>
        <w:ind w:left="420"/>
      </w:pPr>
      <w:r>
        <w:t xml:space="preserve">4. die Ausübung der Arbeit mit der Pflege einer oder eines Angehörigen nicht vereinbar wäre und die Pflege nicht auf andere Weise sichergestellt werden kann,</w:t>
      </w:r>
    </w:p>
    <w:p>
      <w:pPr>
        <w:ind w:left="420"/>
      </w:pPr>
      <w:r>
        <w:t xml:space="preserve">5. der Ausübung der Arbeit ein sonstiger wichtiger Grund entgegensteht.</w:t>
      </w:r>
    </w:p>
    <w:p>
      <w:r>
        <w:t xml:space="preserve">(2) Eine Arbeit ist nicht allein deshalb unzumutbar, weil</w:t>
      </w:r>
    </w:p>
    <w:p>
      <w:pPr>
        <w:ind w:left="420"/>
      </w:pPr>
      <w:r>
        <w:t xml:space="preserve">1. sie nicht einer früheren beruflichen Tätigkeit entspricht, für die die erwerbsfähige leistungsberechtigte Person ausgebildet ist oder die früher ausgeübt wurde,</w:t>
      </w:r>
    </w:p>
    <w:p>
      <w:pPr>
        <w:ind w:left="420"/>
      </w:pPr>
      <w:r>
        <w:t xml:space="preserve">2. sie im Hinblick auf die Ausbildung der erwerbsfähigen leistungsberechtigten Person als geringerwertig anzusehen ist,</w:t>
      </w:r>
    </w:p>
    <w:p>
      <w:pPr>
        <w:ind w:left="420"/>
      </w:pPr>
      <w:r>
        <w:t xml:space="preserve">3. der Beschäftigungsort vom Wohnort der erwerbsfähigen leistungsberechtigten Person weiter entfernt ist als ein früherer Beschäftigungs- oder Ausbildungsort,</w:t>
      </w:r>
    </w:p>
    <w:p>
      <w:pPr>
        <w:ind w:left="420"/>
      </w:pPr>
      <w:r>
        <w:t xml:space="preserve">4. die Arbeitsbedingungen ungünstiger sind als bei den bisherigen Beschäftigungen der erwerbsfähigen leistungsberechtigten Person,</w:t>
      </w:r>
    </w:p>
    <w:p>
      <w:pPr>
        <w:ind w:left="420"/>
      </w:pPr>
      <w:r>
        <w:t xml:space="preserve">5. sie mit der Beendigung einer Erwerbstätigkeit verbunden ist, es sei denn, es liegen begründete Anhaltspunkte vor, dass durch die bisherige Tätigkeit künftig die Hilfebedürftigkeit beendet werden kann; bei Leistungsberechtigten, die selbständig tätig sind, wird spätestens nach einem Jahr ununterbrochenen Leistungsbezuges geprüft, ob ein Verweis auf eine Beschäftigung zumutbar ist.</w:t>
      </w:r>
    </w:p>
    <w:p>
      <w:r>
        <w:t xml:space="preserve">(3) Die Absätze 1 und 2 gelten für die Teilnahme an Maßnahmen zur Eingliederung in Arbeit sowie an einem Integrationskurs nach § 43 des Aufenthaltsgesetzes oder an einer Maßnahme der berufsbezogenen Deutschsprachförderung nach § 45a des Aufenthaltsgesetzes entsprechend.</w:t>
      </w:r>
    </w:p>
    <w:p>
      <w:r>
        <w:rPr>
          <w:color w:val="555555"/>
          <w:sz w:val="17"/>
        </w:rPr>
        <w:t xml:space="preserve">Zitiervorschlag: § 10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