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91 SGB 14 — Verordnungsermächtigung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Das Bundesministerium für Arbeit und Soziales wird ermächtigt, im Einvernehmen mit dem Bundesministerium der Finanzen durch Rechtsverordnung, die der Zustimmung des Bundesrates bedarf, zu bestimmen:</w:t>
      </w:r>
    </w:p>
    <w:p>
      <w:pPr>
        <w:ind w:left="420"/>
      </w:pPr>
      <w:r>
        <w:t xml:space="preserve">1. welche Vergleichsgrundlage und in welcher Weise diese zur Ermittlung des Einkommensverlustes heranzuziehen ist,</w:t>
      </w:r>
    </w:p>
    <w:p>
      <w:pPr>
        <w:ind w:left="420"/>
      </w:pPr>
      <w:r>
        <w:t xml:space="preserve">2. wie der Einkommensverlust bei einer vor Abschluss der Schulausbildung oder vor Beginn der Berufsausbildung erlittenen Schädigung zu ermitteln ist,</w:t>
      </w:r>
    </w:p>
    <w:p>
      <w:pPr>
        <w:ind w:left="420"/>
      </w:pPr>
      <w:r>
        <w:t xml:space="preserve">3. wie der Berufsschadensausgleich festzustellen ist, wenn die oder der Geschädigte ohne die Schädigung neben einer beruflichen Tätigkeit weitere berufliche Tätigkeiten ausgeübt oder einen gemeinsamen Haushalt im Sinne des § 89 Absatz 9 geführt hätte,</w:t>
      </w:r>
    </w:p>
    <w:p>
      <w:pPr>
        <w:ind w:left="420"/>
      </w:pPr>
      <w:r>
        <w:t xml:space="preserve">4. wie der Berufsschadenausgleich bei einem berücksichtigungsfähigen Schaden nach einem Nachschaden im Sinne des § 89 Absatz 8 festgestellt wird und welche Einkommen berücksichtigt werden,</w:t>
      </w:r>
    </w:p>
    <w:p>
      <w:pPr>
        <w:ind w:left="420"/>
      </w:pPr>
      <w:r>
        <w:t xml:space="preserve">5. wie in besonderen Fällen das Nettoeinkommen abweichend von § 89 Absatz 6 Satz 1 Nummer 3 und 4 zu ermitteln ist.</w:t>
      </w:r>
    </w:p>
    <w:p>
      <w:r>
        <w:rPr>
          <w:color w:val="555555"/>
          <w:sz w:val="17"/>
        </w:rPr>
        <w:t xml:space="preserve">Zitiervorschlag: § 91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https://recht.nulegal.eu/gesetze/SGB%2014/91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91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