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SGB 14 — Abfindung für Witwen und Witwer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Witwen und Witwer erhalten auf Antrag eine Abfindung anstelle der monatlichen Entschädigungszahlung. Der Antrag ist innerhalb eines Jahres nach Bewilligung der Entschädigungszahlung zu stellen.</w:t>
      </w:r>
    </w:p>
    <w:p>
      <w:r>
        <w:t xml:space="preserve">(2) Die Abfindung beträgt 143 160 Euro. Auf die Abfindung sind bereits geleistete monatliche Entschädigungszahlungen anzurechnen.</w:t>
      </w:r>
    </w:p>
    <w:p>
      <w:r>
        <w:t xml:space="preserve">(3) Mit der Zahlung der Abfindung sind alle Ansprüche auf die monatlichen Entschädigungszahlungen abgegolten.</w:t>
      </w:r>
    </w:p>
    <w:p>
      <w:r>
        <w:rPr>
          <w:color w:val="555555"/>
          <w:sz w:val="17"/>
        </w:rPr>
        <w:t xml:space="preserve">Zitiervorschlag: § 86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