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83 SGB 14 — Monatliche Entschädigungszahlung</w:t>
      </w:r>
    </w:p>
    <w:p>
      <w:r>
        <w:rPr>
          <w:color w:val="555555"/>
          <w:sz w:val="18"/>
        </w:rPr>
        <w:t xml:space="preserve">Vierzehntes Buch Sozialgesetzbuch</w:t>
      </w:r>
    </w:p>
    <w:p>
      <w:r>
        <w:rPr>
          <w:color w:val="555555"/>
          <w:sz w:val="18"/>
        </w:rPr>
        <w:t xml:space="preserve">Stand: 01.07.2026 (konsolidierte Textfassung, kein amtliches Inkrafttretensdatum)</w:t>
      </w:r>
    </w:p>
    <w:p>
      <w:r>
        <w:t xml:space="preserve">(1) Geschädigte erhalten eine monatliche Entschädigungszahlung von</w:t>
      </w:r>
    </w:p>
    <w:p>
      <w:pPr>
        <w:ind w:left="420"/>
      </w:pPr>
      <w:r>
        <w:t xml:space="preserve">1. 452 Euro bei einem Grad der Schädigungsfolgen von 30 und 40,</w:t>
      </w:r>
    </w:p>
    <w:p>
      <w:pPr>
        <w:ind w:left="420"/>
      </w:pPr>
      <w:r>
        <w:t xml:space="preserve">2. 905 Euro bei einem Grad der Schädigungsfolgen von 50 und 60,</w:t>
      </w:r>
    </w:p>
    <w:p>
      <w:pPr>
        <w:ind w:left="420"/>
      </w:pPr>
      <w:r>
        <w:t xml:space="preserve">3. 1 357 Euro bei einem Grad der Schädigungsfolgen von 70 und 80,</w:t>
      </w:r>
    </w:p>
    <w:p>
      <w:pPr>
        <w:ind w:left="420"/>
      </w:pPr>
      <w:r>
        <w:t xml:space="preserve">4. 1 810 Euro bei einem Grad der Schädigungsfolgen von 90,</w:t>
      </w:r>
    </w:p>
    <w:p>
      <w:pPr>
        <w:ind w:left="420"/>
      </w:pPr>
      <w:r>
        <w:t xml:space="preserve">5. 2 261 Euro bei einem Grad der Schädigungsfolgen von 100.</w:t>
      </w:r>
    </w:p>
    <w:p>
      <w:r>
        <w:t xml:space="preserve">(2) Die monatliche Entschädigungszahlung nach Absatz 1 Nummer 5 erhöht sich für Geschädigte mit schwersten Schädigungsfolgen um 20 Prozent.</w:t>
      </w:r>
    </w:p>
    <w:p>
      <w:r>
        <w:t xml:space="preserve">(3) Schwerste Schädigungsfolgen liegen vor bei blinden Ohnhändern oder Geschädigten mit Verlust beider Arme im Oberarm und beider Beine im Oberschenkel. Von schwersten Schädigungsfolgen ist ebenfalls auszugehen, wenn bei</w:t>
      </w:r>
    </w:p>
    <w:p>
      <w:pPr>
        <w:ind w:left="420"/>
      </w:pPr>
      <w:r>
        <w:t xml:space="preserve">1. Querschnittsgelähmten mit Blasen- und Mastdarmlähmung,</w:t>
      </w:r>
    </w:p>
    <w:p>
      <w:pPr>
        <w:ind w:left="420"/>
      </w:pPr>
      <w:r>
        <w:t xml:space="preserve">2. Hirnbeschädigten mit schweren psychischen und physischen Störungen,</w:t>
      </w:r>
    </w:p>
    <w:p>
      <w:pPr>
        <w:ind w:left="420"/>
      </w:pPr>
      <w:r>
        <w:t xml:space="preserve">3. Ohnhändern mit Verlust beider Beine im Oberschenkel,</w:t>
      </w:r>
    </w:p>
    <w:p>
      <w:pPr>
        <w:ind w:left="420"/>
      </w:pPr>
      <w:r>
        <w:t xml:space="preserve">4. blinden Doppel-Oberschenkelamputierten oder</w:t>
      </w:r>
    </w:p>
    <w:p>
      <w:pPr>
        <w:ind w:left="420"/>
      </w:pPr>
      <w:r>
        <w:t xml:space="preserve">5. Blinden mit völligem Verlust einer oberen und einer unteren Gliedmaße</w:t>
      </w:r>
    </w:p>
    <w:p>
      <w:r>
        <w:t xml:space="preserve">eine weitere wesentliche Schädigungsfolge vorliegt, so dass der Leidenszustand vergleichbar außergewöhnlich ist wie bei den Geschädigten nach Satz 1. Schwerste Schädigungsfolgen können auch andere Geschädigte mit einem GdS von 100 haben, wenn deren außergewöhnlicher Leidenszustand vergleichbar ist mit den Geschädigten nach Satz 1.</w:t>
      </w:r>
    </w:p>
    <w:p>
      <w:r>
        <w:rPr>
          <w:color w:val="555555"/>
          <w:sz w:val="17"/>
        </w:rPr>
        <w:t xml:space="preserve">Zitiervorschlag: § 83 SGB 14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https://recht.nulegal.eu/gesetze/SGB%2014/83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