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SGB 14 — Anspruch und Umfang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Ist als Schädigungsfolge hochgradige Sehbehinderung nach Teil A Nummer 6 Buchstabe d der Versorgungsmedizin-Verordnung eingetreten, erhalten Geschädigte unabhängig vom Lebensalter die Hälfte des Betrags nach § 72 Absatz 2 des Zwölften Buches, der für blinde Menschen nach Vollendung des 18. Lebensjahres geleistet wird.</w:t>
      </w:r>
    </w:p>
    <w:p>
      <w:r>
        <w:t xml:space="preserve">(2) Ist als Schädigungsfolge Blindheit nach Teil A Nummer 6 Buchstabe a bis c der Versorgungsmedizin-Verordnung eingetreten, erhalten Geschädigte unabhängig vom Lebensalter den Betrag nach § 72 Absatz 2 des Zwölften Buches, der für blinde Menschen nach Vollendung des 18. Lebensjahres geleistet wird. § 72 Absatz 5 des Zwölften Buches gilt entsprechend.</w:t>
      </w:r>
    </w:p>
    <w:p>
      <w:r>
        <w:t xml:space="preserve">(3) Ist als Schädigungsfolge Taubblindheit im Sinne von § 3 Absatz 1 Nummer 8 Schwerbehindertenausweisverordnung eingetreten, erhalten Geschädigte unabhängig vom Lebensalter den zweifachen Betrag nach § 72 Absatz 2 des Zwölften Buches, der für blinde Menschen nach Vollendung des 18. Lebensjahres geleistet wird.</w:t>
      </w:r>
    </w:p>
    <w:p>
      <w:r>
        <w:t xml:space="preserve">(4) Die Leistungen nach den Absätzen 1 bis 3 sind vorrangig gegenüber landesrechtlichen Leistungen für blindheitsbedingte Mehraufwendungen.</w:t>
      </w:r>
    </w:p>
    <w:p>
      <w:r>
        <w:rPr>
          <w:color w:val="555555"/>
          <w:sz w:val="17"/>
        </w:rPr>
        <w:t xml:space="preserve">Zitiervorschlag: § 82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