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SGB 14 — Wunsch- und Wahlrecht</w:t>
      </w:r>
    </w:p>
    <w:p>
      <w:r>
        <w:rPr>
          <w:color w:val="555555"/>
          <w:sz w:val="18"/>
        </w:rPr>
        <w:t xml:space="preserve">Vierzehntes Buch Sozialgesetzbuch</w:t>
      </w:r>
    </w:p>
    <w:p>
      <w:r>
        <w:rPr>
          <w:color w:val="555555"/>
          <w:sz w:val="18"/>
        </w:rPr>
        <w:t xml:space="preserve">Stand: 01.01.2024 (konsolidierte Textfassung, kein amtliches Inkrafttretensdatum)</w:t>
      </w:r>
    </w:p>
    <w:p>
      <w:r>
        <w:t xml:space="preserve">Bei der Entscheidung über die Leistungen zur Teilhabe und bei der Ausführung dieser Leistungen wird den berechtigten Wünschen der Berechtigten entsprochen. Dabei sind Art und Schwere der Schädigung, Gesundheitszustand und Lebensalter besonders zu berücksichtigen. Im Übrigen gilt § 8 des Neunten Buches.</w:t>
      </w:r>
    </w:p>
    <w:p>
      <w:r>
        <w:rPr>
          <w:color w:val="555555"/>
          <w:sz w:val="17"/>
        </w:rPr>
        <w:t xml:space="preserve">Zitiervorschlag: § 69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