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SGB 14 — Erstattung an Unfallkassen der Länder</w:t>
      </w:r>
    </w:p>
    <w:p>
      <w:r>
        <w:rPr>
          <w:color w:val="555555"/>
          <w:sz w:val="18"/>
        </w:rPr>
        <w:t xml:space="preserve">Vierzehntes Buch Sozialgesetzbuch</w:t>
      </w:r>
    </w:p>
    <w:p>
      <w:r>
        <w:rPr>
          <w:color w:val="555555"/>
          <w:sz w:val="18"/>
        </w:rPr>
        <w:t xml:space="preserve">Stand: 05.01.2024 (konsolidierte Textfassung, kein amtliches Inkrafttretensdatum)</w:t>
      </w:r>
    </w:p>
    <w:p>
      <w:r>
        <w:t xml:space="preserve">(1) Den Unfallkassen der Länder werden von der zuständigen Verwaltungsbehörde die Aufwendungen erstattet, die ihnen nach § 57 Absatz 5 entstehen.</w:t>
      </w:r>
    </w:p>
    <w:p>
      <w:r>
        <w:t xml:space="preserve">(2) Den Unfallkassen der Länder werden von der zuständigen Verwaltungsbehörde Verwaltungskosten in Höhe von 10 Prozent des Erstattungsbetrages nach Absatz 1 erstattet. Die Höhe der Pauschale wird nach Ablauf von zwei Jahren nach Inkrafttreten der Regelung von den Trägern der Sozialen Entschädigung und der Deutschen Gesetzlichen Unfallversicherung e.V. evaluiert. Diese treffen zu den Einzelheiten der Evaluierung eine Vereinbarung.</w:t>
      </w:r>
    </w:p>
    <w:p>
      <w:r>
        <w:t xml:space="preserve">(3) Die Länder können mit den Unfallkassen Vereinbarungen zur Durchführung des Verfahrens nach den Absätzen 1 und 2 treffen. Haben die Vereinbarungen finanzielle Auswirkungen für den Bund, bedürfen sie der Zustimmung des Bundesministeriums für Arbeit und Soziales.</w:t>
      </w:r>
    </w:p>
    <w:p>
      <w:r>
        <w:rPr>
          <w:color w:val="555555"/>
          <w:sz w:val="17"/>
        </w:rPr>
        <w:t xml:space="preserve">Zitiervorschlag: § 61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