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SGB 14 — Zuständigkeit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Die Krankenbehandlung der Sozialen Entschädigung wird von der zuständigen Verwaltungsbehörde durchgeführt.</w:t>
      </w:r>
    </w:p>
    <w:p>
      <w:r>
        <w:t xml:space="preserve">(2) Für Geschädigte, die Mitglied einer Krankenkasse oder nach § 10 des Fünften Buches familienversichert sind, erbringt ihre Krankenkasse für die zuständige Verwaltungsbehörde</w:t>
      </w:r>
    </w:p>
    <w:p>
      <w:pPr>
        <w:ind w:left="420"/>
      </w:pPr>
      <w:r>
        <w:t xml:space="preserve">1. die Krankenbehandlung nach § 42,</w:t>
      </w:r>
    </w:p>
    <w:p>
      <w:pPr>
        <w:ind w:left="420"/>
      </w:pPr>
      <w:r>
        <w:t xml:space="preserve">2. das Krankengeld der Sozialen Entschädigung nach § 47 und</w:t>
      </w:r>
    </w:p>
    <w:p>
      <w:pPr>
        <w:ind w:left="420"/>
      </w:pPr>
      <w:r>
        <w:t xml:space="preserve">3. die Leistungen nach § 53, die mit der Inanspruchnahme einer Hauptleistung nach § 42 in Zusammenhang stehen.</w:t>
      </w:r>
    </w:p>
    <w:p>
      <w:r>
        <w:t xml:space="preserve">(3) Geschädigte, die weder Mitglied einer Krankenkasse noch nach § 10 des Fünften Buches familienversichert sind, wählen eine nach § 173 des Fünften Buches wählbare Krankenkasse, die für die zuständige Verwaltungsbehörde</w:t>
      </w:r>
    </w:p>
    <w:p>
      <w:pPr>
        <w:ind w:left="420"/>
      </w:pPr>
      <w:r>
        <w:t xml:space="preserve">1. die Krankenbehandlung nach § 42,</w:t>
      </w:r>
    </w:p>
    <w:p>
      <w:pPr>
        <w:ind w:left="420"/>
      </w:pPr>
      <w:r>
        <w:t xml:space="preserve">2. das Krankengeld der Sozialen Entschädigung nach § 47 und</w:t>
      </w:r>
    </w:p>
    <w:p>
      <w:pPr>
        <w:ind w:left="420"/>
      </w:pPr>
      <w:r>
        <w:t xml:space="preserve">3. die Leistungen nach § 53, die mit der Inanspruchnahme einer Hauptleistung nach § 42 in Zusammenhang stehen,</w:t>
      </w:r>
    </w:p>
    <w:p>
      <w:r>
        <w:t xml:space="preserve">erbringt. Die Wahl der Krankenkasse nach Satz 1 ist innerhalb von zwei Wochen nach Bekanntgabe der Entscheidung über den Anspruch auf Leistungen der Sozialen Entschädigung auszuüben. Wird sie nicht fristgerecht ausgeübt, gilt das Verfahren nach § 175 Absatz 3 Satz 2 des Fünften Buches entsprechend. § 175 Absatz 4 Satz 1 bis 5 des Fünften Buches gilt entsprechend. Kein Recht auf Wahl der Krankenkasse besteht für Geschädigte, für die bereits eine Krankenkasse nach § 264 Absatz 1 Satz 2 oder Absatz 3 des Fünften Buches zuständig ist. Diese Krankenkasse ist verpflichtet, die Leistungen nach Satz 1 zu erbringen.</w:t>
      </w:r>
    </w:p>
    <w:p>
      <w:r>
        <w:t xml:space="preserve">(4) Das Wahlrecht nach Absatz 3 gilt entsprechend für Angehörige, Hinterbliebene und Nahestehende, die Leistungen nach § 42 Absatz 3 oder Absatz 4 erhalten.</w:t>
      </w:r>
    </w:p>
    <w:p>
      <w:r>
        <w:t xml:space="preserve">(5) Die Versorgung mit Hilfsmitteln nach § 46 Absatz 1 Satz 1 Nummer 1 erbringt die zuständige Unfallkasse des Landes für die zuständige Verwaltungsbehörde. Hierzu zählt auch die Wahrnehmung der sich aus dem Medizinprodukterecht ergebenden Pflichten. Sie erbringt auch die Leistungen nach § 53, die mit der Inanspruchnahme einer Hauptleistung nach § 46 Absatz 1 Satz 1 Nummer 1 in Zusammenhang stehen.</w:t>
      </w:r>
    </w:p>
    <w:p>
      <w:r>
        <w:t xml:space="preserve">(6) Alle weiteren Leistungen erbringt die zuständige Verwaltungsbehörde. § 18 Absatz 6 Satz 2 und 3 des Neunten Buches bleiben unberührt.</w:t>
      </w:r>
    </w:p>
    <w:p>
      <w:r>
        <w:rPr>
          <w:color w:val="555555"/>
          <w:sz w:val="17"/>
        </w:rPr>
        <w:t xml:space="preserve">Zitiervorschlag: § 57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