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SGB 14 — Zuschüsse bei Zahnersatz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Anstelle der Versorgung mit Zahnersatz können Geschädigte für die Beschaffung eines Zahnersatzes wegen anerkannter Schädigungsfolgen einen Zuschuss in angemessener Höhe erhalten, wenn</w:t>
      </w:r>
    </w:p>
    <w:p>
      <w:pPr>
        <w:ind w:left="420"/>
      </w:pPr>
      <w:r>
        <w:t xml:space="preserve">1. sie wegen eines nicht schädigungsbedingten weiteren Zahnverlustes einen erweiterten Zahnersatz anfertigen lassen und</w:t>
      </w:r>
    </w:p>
    <w:p>
      <w:pPr>
        <w:ind w:left="420"/>
      </w:pPr>
      <w:r>
        <w:t xml:space="preserve">2. es sich bei dem erweiterten Zahnersatz um eine nicht teilbare Leistung handelt.</w:t>
      </w:r>
    </w:p>
    <w:p>
      <w:r>
        <w:rPr>
          <w:color w:val="555555"/>
          <w:sz w:val="17"/>
        </w:rPr>
        <w:t xml:space="preserve">Zitiervorschlag: § 49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https://recht.nulegal.eu/gesetze/SGB%2014/49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