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SGB 14 — Sachleistungsprinzip, Kostenbeteiligung</w:t>
      </w:r>
    </w:p>
    <w:p>
      <w:r>
        <w:rPr>
          <w:color w:val="555555"/>
          <w:sz w:val="18"/>
        </w:rPr>
        <w:t xml:space="preserve">Vierzehntes Buch Sozialgesetzbuch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Leistungen der Krankenbehandlung werden als Sachleistungen erbracht, soweit sich aus diesem Buch, dem Fünften Buch oder dem Neunten Buch nichts Abweichendes ergibt.</w:t>
      </w:r>
    </w:p>
    <w:p>
      <w:r>
        <w:t xml:space="preserve">(2) Geschädigte erhalten Sachleistungen ohne Beteiligung an den Kosten. Dies gilt nicht für nach § 42 Absatz 2 erbrachte Sachleistungen.</w:t>
      </w:r>
    </w:p>
    <w:p>
      <w:r>
        <w:rPr>
          <w:color w:val="555555"/>
          <w:sz w:val="17"/>
        </w:rPr>
        <w:t xml:space="preserve">Zitiervorschlag: § 44 SGB 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https://recht.nulegal.eu/gesetze/SGB%2014/44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