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SGB 14 — Weiterer Bedarf nach Betreuung in der Traumaambulanz</w:t>
      </w:r>
    </w:p>
    <w:p>
      <w:r>
        <w:rPr>
          <w:color w:val="555555"/>
          <w:sz w:val="18"/>
        </w:rPr>
        <w:t xml:space="preserve">Vierzehntes Buch Sozialgesetzbuch</w:t>
      </w:r>
    </w:p>
    <w:p>
      <w:r>
        <w:rPr>
          <w:color w:val="555555"/>
          <w:sz w:val="18"/>
        </w:rPr>
        <w:t xml:space="preserve">Stand: 05.01.2024 (konsolidierte Textfassung, kein amtliches Inkrafttretensdatum)</w:t>
      </w:r>
    </w:p>
    <w:p>
      <w:r>
        <w:t xml:space="preserve">(1) Besteht bei Personen, die die Betreuung in der Traumaambulanz in Anspruch nehmen, auch nach dieser Betreuung weiterer psychotherapeutischer Behandlungsbedarf, so verweist der Träger der Sozialen Entschädigung sie auf weitere psychotherapeutische Angebote.</w:t>
      </w:r>
    </w:p>
    <w:p>
      <w:r>
        <w:t xml:space="preserve">(2) Die Traumaambulanz ist verpflichtet, der zuständigen Behörde den weiteren Bedarf so frühzeitig wie möglich mitzuteilen. Die nach Landesrecht zuständigen Behörden legen in den nach § 37 zu schließenden Vereinbarungen die Konsequenzen eines Verstoßes gegen die Informationspflicht aus Satz 1 fest.</w:t>
      </w:r>
    </w:p>
    <w:p>
      <w:r>
        <w:rPr>
          <w:color w:val="555555"/>
          <w:sz w:val="17"/>
        </w:rPr>
        <w:t xml:space="preserve">Zitiervorschlag: § 35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