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SGB 14 — Leistungsvoraussetzungen und Leistungsumfang</w:t>
      </w:r>
    </w:p>
    <w:p>
      <w:r>
        <w:rPr>
          <w:color w:val="555555"/>
          <w:sz w:val="18"/>
        </w:rPr>
        <w:t xml:space="preserve">Vierzehntes Buch Sozialgesetzbuch</w:t>
      </w:r>
    </w:p>
    <w:p>
      <w:r>
        <w:rPr>
          <w:color w:val="555555"/>
          <w:sz w:val="18"/>
        </w:rPr>
        <w:t xml:space="preserve">Stand: 01.01.2021 (konsolidierte Textfassung, kein amtliches Inkrafttretensdatum)</w:t>
      </w:r>
    </w:p>
    <w:p>
      <w:r>
        <w:t xml:space="preserve">(1) Geschädigte sowie Angehörige, Hinterbliebene und Nahestehende haben Anspruch auf insgesamt bis zu 15 Sitzungen in der Traumaambulanz nach Maßgabe der folgenden Absätze, sofern die Voraussetzungen nach § 32 oder § 33 vorliegen. Bei Kindern und Jugendlichen beträgt der Höchstanspruch 18 Sitzungen.</w:t>
      </w:r>
    </w:p>
    <w:p>
      <w:r>
        <w:t xml:space="preserve">(2) Die ersten fünf beziehungsweise bei Kindern und Jugendlichen die ersten acht Sitzungen dienen insbesondere der Abklärung der psychotherapeutischen Behandlungsbedürftigkeit, der Durchführung der Diagnostik und der erforderlichen Akutmaßnahmen. Sie können in Anspruch genommen werden, auch wenn noch keine Entscheidung im Erleichterten Verfahren nach § 115 ergangen ist.</w:t>
      </w:r>
    </w:p>
    <w:p>
      <w:r>
        <w:t xml:space="preserve">(3) Geschädigte sowie Angehörige, Hinterbliebene und Nahestehende haben Anspruch auf bis zu zehn weitere Sitzungen, wenn diese erforderlich sind und ein Anspruch auf Leistungen der Traumaambulanz festgestellt wurde. Der Anspruch auf bis zu zehn weitere Sitzungen besteht auch dann, wenn die zuständige Behörde zwei Wochen nach Vorliegen des Antrags keine Entscheidung getroffen hat und die Traumaambulanz die dringende Behandlungsbedürftigkeit sowie die geplante Durchführung der weiteren Sitzungen vorab angezeigt hat.</w:t>
      </w:r>
    </w:p>
    <w:p>
      <w:r>
        <w:rPr>
          <w:color w:val="555555"/>
          <w:sz w:val="17"/>
        </w:rPr>
        <w:t xml:space="preserve">Zitiervorschlag: § 34 SGB 14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https://recht.nulegal.eu/gesetze/SGB%2014/34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