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32 SGB 14 — Psychotherapeutische Frühintervention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Geschädigte sollen psychotherapeutische Frühintervention in einer Traumaambulanz erhalten, wenn die erste Sitzung innerhalb von zwölf Monaten nach dem schädigenden Ereignis oder nach Kenntnisnahme hiervon erfolgt.</w:t>
      </w:r>
    </w:p>
    <w:p>
      <w:r>
        <w:t xml:space="preserve">(2) Angehörige, Hinterbliebene und Nahestehende sollen psychotherapeutische Frühintervention in einer Traumaambulanz erhalten, wenn die erste Sitzung innerhalb von zwölf Monaten erfolgt, nachdem sie von dem schädigenden Ereignis Kenntnis erlangt haben.</w:t>
      </w:r>
    </w:p>
    <w:p>
      <w:r>
        <w:rPr>
          <w:color w:val="555555"/>
          <w:sz w:val="17"/>
        </w:rPr>
        <w:t xml:space="preserve">Zitiervorschlag: § 32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https://recht.nulegal.eu/gesetze/SGB%2014/32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32 SGB 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