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SGB 14 — Verhältnis zu Leistungen anderer Träger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Leistungen nach diesem Buch wegen eines schädigenden Ereignisses nach § 1 Absatz 2 gehen Leistungen anderer Träger, insbesondere anderer Sozialleistungsträger vor.</w:t>
      </w:r>
    </w:p>
    <w:p>
      <w:r>
        <w:t xml:space="preserve">(2) Entschädigungszahlungen nach Kapitel 9 und die Einmalzahlungen nach § 102 Absatz 4 und 5 werden nicht als Einkommen oder Vermögen auf andere Sozialleistungen oder auf Leistungen nach dem Asylbewerberleistungsgesetz angerechnet.</w:t>
      </w:r>
    </w:p>
    <w:p>
      <w:r>
        <w:t xml:space="preserve">(3) Leistungsansprüche aus privaten Sicherungs- oder Versorgungssystemen sind auf Leistungen nach diesem Buch nicht anzurechnen.</w:t>
      </w:r>
    </w:p>
    <w:p>
      <w:r>
        <w:t xml:space="preserve">(4) Die Absätze 1 bis 3 gelten, soweit dieses Buch nichts Abweichendes bestimmt.</w:t>
      </w:r>
    </w:p>
    <w:p>
      <w:r>
        <w:rPr>
          <w:color w:val="555555"/>
          <w:sz w:val="17"/>
        </w:rPr>
        <w:t xml:space="preserve">Zitiervorschlag: § 28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