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SGB 14 — Anspruch auf Leistungen bei Gewalttaten im Ausland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Personen, die durch ein schädigendes Ereignis nach den §§ 13 und 14 im Ausland eine gesundheitliche Schädigung erleiden, erhalten wegen der gesundheitlichen und wirtschaftlichen Folgen auf Antrag Leistungen nach Maßgabe des § 102, wenn sie</w:t>
      </w:r>
    </w:p>
    <w:p>
      <w:pPr>
        <w:ind w:left="420"/>
      </w:pPr>
      <w:r>
        <w:t xml:space="preserve">1. ihren gewöhnlichen und rechtmäßigen Aufenthalt im Geltungsbereich dieses Gesetzes haben und</w:t>
      </w:r>
    </w:p>
    <w:p>
      <w:pPr>
        <w:ind w:left="420"/>
      </w:pPr>
      <w:r>
        <w:t xml:space="preserve">2. sich zum Tatzeitpunkt für einen vorübergehenden Zeitraum von längstens sechs Monaten außerhalb des Geltungsbereichs dieses Gesetzes aufgehalten haben.</w:t>
      </w:r>
    </w:p>
    <w:p>
      <w:r>
        <w:t xml:space="preserve">Die Frist nach Satz 1 Nummer 2 verlängert sich auf ein Jahr, wenn der Auslandsaufenthalt dem Besuch einer Schule, Hochschule, der Berufsausbildung oder der Leistung eines freiwilligen Dienstes im Sinne des § 32 Absatz 4 Satz 1 Nummer 2 Buchstabe d des Einkommensteuergesetzes dient.</w:t>
      </w:r>
    </w:p>
    <w:p>
      <w:r>
        <w:rPr>
          <w:color w:val="555555"/>
          <w:sz w:val="17"/>
        </w:rPr>
        <w:t xml:space="preserve">Zitiervorschlag: § 15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