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127 SGB 14 — Erhebungsmerkmale</w:t>
      </w:r>
    </w:p>
    <w:p>
      <w:r>
        <w:rPr>
          <w:color w:val="555555"/>
          <w:sz w:val="18"/>
        </w:rPr>
        <w:t xml:space="preserve">Vierzehntes Buch Sozialgesetzbuch</w:t>
      </w:r>
    </w:p>
    <w:p>
      <w:r>
        <w:rPr>
          <w:color w:val="555555"/>
          <w:sz w:val="18"/>
        </w:rPr>
        <w:t xml:space="preserve">Stand: 05.01.2024 (konsolidierte Textfassung, kein amtliches Inkrafttretensdatum)</w:t>
      </w:r>
    </w:p>
    <w:p>
      <w:r>
        <w:t xml:space="preserve">(1) Zur Beurteilung der Auswirkungen dieses Buches und zu dessen Fortentwicklung werden folgende Merkmale erhoben:</w:t>
      </w:r>
    </w:p>
    <w:p>
      <w:pPr>
        <w:ind w:left="420"/>
      </w:pPr>
      <w:r>
        <w:t xml:space="preserve">1. das Geschlecht der leistungsberechtigten Person,</w:t>
      </w:r>
    </w:p>
    <w:p>
      <w:pPr>
        <w:ind w:left="420"/>
      </w:pPr>
      <w:r>
        <w:t xml:space="preserve">2. das Land und die Kennnummer des zuständigen Trägers der Sozialen Entschädigung,</w:t>
      </w:r>
    </w:p>
    <w:p>
      <w:pPr>
        <w:ind w:left="420"/>
      </w:pPr>
      <w:r>
        <w:t xml:space="preserve">3. die Zugehörigkeit zu den Empfängergruppen:</w:t>
      </w:r>
    </w:p>
    <w:p>
      <w:pPr>
        <w:ind w:left="780"/>
      </w:pPr>
      <w:r>
        <w:t xml:space="preserve">a) Geschädigte, aufgegliedert nach dem Grad der Schädigungsfolgen,</w:t>
      </w:r>
    </w:p>
    <w:p>
      <w:pPr>
        <w:ind w:left="780"/>
      </w:pPr>
      <w:r>
        <w:t xml:space="preserve">b) Angehörige, Hinterbliebene und Nahestehende,</w:t>
      </w:r>
    </w:p>
    <w:p>
      <w:pPr>
        <w:ind w:left="420"/>
      </w:pPr>
      <w:r>
        <w:t xml:space="preserve">4. die Art des schädigenden Ereignisses:</w:t>
      </w:r>
    </w:p>
    <w:p>
      <w:pPr>
        <w:ind w:left="780"/>
      </w:pPr>
      <w:r>
        <w:t xml:space="preserve">a) Gewalttat, aufgegliedert nach</w:t>
      </w:r>
    </w:p>
    <w:p>
      <w:pPr>
        <w:ind w:left="1140"/>
      </w:pPr>
      <w:r>
        <w:t xml:space="preserve">aa) Gewalttat im Inland oder</w:t>
      </w:r>
    </w:p>
    <w:p>
      <w:pPr>
        <w:ind w:left="1140"/>
      </w:pPr>
      <w:r>
        <w:t xml:space="preserve">bb) Gewalttat im Ausland,</w:t>
      </w:r>
    </w:p>
    <w:p>
      <w:pPr>
        <w:ind w:left="780"/>
      </w:pPr>
      <w:r>
        <w:t xml:space="preserve">b) Weltkriegsauswirkungen und Fälle nach § 139,</w:t>
      </w:r>
    </w:p>
    <w:p>
      <w:pPr>
        <w:ind w:left="780"/>
      </w:pPr>
      <w:r>
        <w:t xml:space="preserve">c) Schutzimpfung oder eine andere Maßnahme der spezifischen Prophylaxe,</w:t>
      </w:r>
    </w:p>
    <w:p>
      <w:pPr>
        <w:ind w:left="780"/>
      </w:pPr>
      <w:r>
        <w:t xml:space="preserve">d) Ereignis im Zusammenhang mit der Ableistung des Zivildienstes,</w:t>
      </w:r>
    </w:p>
    <w:p>
      <w:pPr>
        <w:ind w:left="780"/>
      </w:pPr>
      <w:r>
        <w:t xml:space="preserve">e) Gewahrsam im Sinne des Häftlingshilfegesetzes,</w:t>
      </w:r>
    </w:p>
    <w:p>
      <w:pPr>
        <w:ind w:left="780"/>
      </w:pPr>
      <w:r>
        <w:t xml:space="preserve">f) rechtsstaatswidrige Verwaltungsmaßnahme im Sinne des Verwaltungsrechtlichen Rehabilitierungsgesetzes,</w:t>
      </w:r>
    </w:p>
    <w:p>
      <w:pPr>
        <w:ind w:left="780"/>
      </w:pPr>
      <w:r>
        <w:t xml:space="preserve">g) rechtsstaatswidrige Entscheidung oder Maßnahme im Sinne des Strafrechtlichen Rehabilitierungsgesetzes,</w:t>
      </w:r>
    </w:p>
    <w:p>
      <w:pPr>
        <w:ind w:left="420"/>
      </w:pPr>
      <w:r>
        <w:t xml:space="preserve">5. die Zahl der Anträge im Erhebungsmonat, aufgegliedert nach Empfängergruppen,</w:t>
      </w:r>
    </w:p>
    <w:p>
      <w:pPr>
        <w:ind w:left="420"/>
      </w:pPr>
      <w:r>
        <w:t xml:space="preserve">6. die Zahl der im Erhebungsmonat erledigten Anträge, aufgegliedert nach</w:t>
      </w:r>
    </w:p>
    <w:p>
      <w:pPr>
        <w:ind w:left="780"/>
      </w:pPr>
      <w:r>
        <w:t xml:space="preserve">a) Leistungsempfängergruppen und</w:t>
      </w:r>
    </w:p>
    <w:p>
      <w:pPr>
        <w:ind w:left="780"/>
      </w:pPr>
      <w:r>
        <w:t xml:space="preserve">b) der Art der Erledigung, aufgegliedert nach</w:t>
      </w:r>
    </w:p>
    <w:p>
      <w:pPr>
        <w:ind w:left="1140"/>
      </w:pPr>
      <w:r>
        <w:t xml:space="preserve">aa) Ablehnung,</w:t>
      </w:r>
    </w:p>
    <w:p>
      <w:pPr>
        <w:ind w:left="1140"/>
      </w:pPr>
      <w:r>
        <w:t xml:space="preserve">bb) Bewilligung,</w:t>
      </w:r>
    </w:p>
    <w:p>
      <w:pPr>
        <w:ind w:left="1140"/>
      </w:pPr>
      <w:r>
        <w:t xml:space="preserve">cc) Rücknahme des Antrags und</w:t>
      </w:r>
    </w:p>
    <w:p>
      <w:pPr>
        <w:ind w:left="1140"/>
      </w:pPr>
      <w:r>
        <w:t xml:space="preserve">dd) sonstige Erledigung,</w:t>
      </w:r>
    </w:p>
    <w:p>
      <w:pPr>
        <w:ind w:left="420"/>
      </w:pPr>
      <w:r>
        <w:t xml:space="preserve">7. die Zahl der Fälle im Erhebungsmonat mit</w:t>
      </w:r>
    </w:p>
    <w:p>
      <w:pPr>
        <w:ind w:left="780"/>
      </w:pPr>
      <w:r>
        <w:t xml:space="preserve">a) Ausübung des Wahlrechts nach § 152 Absatz 1 oder</w:t>
      </w:r>
    </w:p>
    <w:p>
      <w:pPr>
        <w:ind w:left="780"/>
      </w:pPr>
      <w:r>
        <w:t xml:space="preserve">b) Überführung nach § 152 Absatz 4.</w:t>
      </w:r>
    </w:p>
    <w:p>
      <w:r>
        <w:t xml:space="preserve">(2) In den von der Richtlinie 2004/80/EG erfassten Fällen werden zudem folgende Merkmale erhoben:</w:t>
      </w:r>
    </w:p>
    <w:p>
      <w:pPr>
        <w:ind w:left="420"/>
      </w:pPr>
      <w:r>
        <w:t xml:space="preserve">1. die Staatsangehörigkeit der Person, die eine Entschädigungsleistung erhält,</w:t>
      </w:r>
    </w:p>
    <w:p>
      <w:pPr>
        <w:ind w:left="420"/>
      </w:pPr>
      <w:r>
        <w:t xml:space="preserve">2. der Staat, in dem die gesundheitliche Schädigung eingetreten ist,</w:t>
      </w:r>
    </w:p>
    <w:p>
      <w:pPr>
        <w:ind w:left="420"/>
      </w:pPr>
      <w:r>
        <w:t xml:space="preserve">3. Art und Umfang der Entschädigungsleistung,</w:t>
      </w:r>
    </w:p>
    <w:p>
      <w:pPr>
        <w:ind w:left="420"/>
      </w:pPr>
      <w:r>
        <w:t xml:space="preserve">4. Zahl der Ablehnungen und</w:t>
      </w:r>
    </w:p>
    <w:p>
      <w:pPr>
        <w:ind w:left="420"/>
      </w:pPr>
      <w:r>
        <w:t xml:space="preserve">5. die Dauer des Verwaltungsverfahrens einschließlich eines etwaigen Widerspruchsverfahrens.</w:t>
      </w:r>
    </w:p>
    <w:p>
      <w:r>
        <w:rPr>
          <w:color w:val="555555"/>
          <w:sz w:val="17"/>
        </w:rPr>
        <w:t xml:space="preserve">Zitiervorschlag: § 127 SGB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https://recht.nulegal.eu/gesetze/SGB%2014/127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