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SGB 14 — Übernahme der Aufwendungen für Dolmetscherinnen und Dolmetscher, Übersetzerinnen und Übersetzer sowie Kommunikationshilfen</w:t>
      </w:r>
    </w:p>
    <w:p>
      <w:r>
        <w:rPr>
          <w:color w:val="555555"/>
          <w:sz w:val="18"/>
        </w:rPr>
        <w:t xml:space="preserve">Vierzehntes Buch Sozialgesetzbuch</w:t>
      </w:r>
    </w:p>
    <w:p>
      <w:r>
        <w:rPr>
          <w:color w:val="555555"/>
          <w:sz w:val="18"/>
        </w:rPr>
        <w:t xml:space="preserve">Stand: 05.01.2024 (konsolidierte Textfassung, kein amtliches Inkrafttretensdatum)</w:t>
      </w:r>
    </w:p>
    <w:p>
      <w:r>
        <w:t xml:space="preserve">(1) Bei der Ausführung von Leistungen nach diesem Buch und im Verwaltungsverfahren werden notwendige Aufwendungen für Dolmetscherinnen und Dolmetscher sowie Übersetzerinnen und Übersetzer von dem Träger der Sozialen Entschädigung getragen, wenn eine berechtigte oder antragstellende Person ihren gewöhnlichen Aufenthalt seit weniger als fünf Jahren im Geltungsbereich dieses Buches hat. Für Leistungen in einer Traumaambulanz und psychotherapeutische Leistungen nach Kapitel 5 beträgt diese Frist zehn Jahre.</w:t>
      </w:r>
    </w:p>
    <w:p>
      <w:r>
        <w:t xml:space="preserve">(2) Hat eine antragstellende oder berechtigte Person ihren gewöhnlichen Aufenthalt im Ausland, werden notwendige Aufwendungen für Übersetzerinnen und Übersetzer bei der Antragstellung nach diesem Buch von dem Träger der Sozialen Entschädigung getragen.</w:t>
      </w:r>
    </w:p>
    <w:p>
      <w:r>
        <w:t xml:space="preserve">(3) Bei der Ausführung von Leistungen nach diesem Buch und im Verwaltungsverfahren werden notwendige Aufwendungen für Kommunikationshilfen nach Maßgabe des § 9 des Behindertengleichstellungsgesetzes in Verbindung mit der Kommunikationshilfenverordnung übernommen.</w:t>
      </w:r>
    </w:p>
    <w:p>
      <w:r>
        <w:rPr>
          <w:color w:val="555555"/>
          <w:sz w:val="17"/>
        </w:rPr>
        <w:t xml:space="preserve">Zitiervorschlag: § 12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