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SGB 14 — Beginn der Leistungserbringung, Kostenregelung für die erste Inanspruchnahme Schneller Hilfen</w:t>
      </w:r>
    </w:p>
    <w:p>
      <w:r>
        <w:rPr>
          <w:color w:val="555555"/>
          <w:sz w:val="18"/>
        </w:rPr>
        <w:t xml:space="preserve">Vierzehntes Buch Sozialgesetzbuch</w:t>
      </w:r>
    </w:p>
    <w:p>
      <w:r>
        <w:rPr>
          <w:color w:val="555555"/>
          <w:sz w:val="18"/>
        </w:rPr>
        <w:t xml:space="preserve">Stand: 01.01.2024 (konsolidierte Textfassung, kein amtliches Inkrafttretensdatum)</w:t>
      </w:r>
    </w:p>
    <w:p>
      <w:r>
        <w:t xml:space="preserve">(1) Leistungen, die auf Antrag erbracht werden, sind ab dem Monat zu erbringen, in dem die Voraussetzungen für die Inanspruchnahme vorliegen, frühestens ab dem Monat, in dem der Antrag auf diese Leistungen gestellt wird.</w:t>
      </w:r>
    </w:p>
    <w:p>
      <w:r>
        <w:t xml:space="preserve">(2) Abweichend von Absatz 1 sind für Zeiträume vor der Antragstellung Leistungen zu erbringen, wenn der Antrag innerhalb eines Jahres nach dem schädigenden Ereignis gestellt war. War die anspruchsberechtigte Person ohne ihr Verschulden an der Antragstellung verhindert, so verlängert sich diese Frist um den Zeitraum der Verhinderung.</w:t>
      </w:r>
    </w:p>
    <w:p>
      <w:r>
        <w:t xml:space="preserve">(3) Leistungen, die von Amts wegen erbracht werden, sind frühestens ab dem Monat zu erbringen, in dem der zuständigen Behörde die der Leistung zugrundeliegenden Tatsachen bekannt geworden sind.</w:t>
      </w:r>
    </w:p>
    <w:p>
      <w:r>
        <w:t xml:space="preserve">(4) Leistungen der Schnellen Hilfen werden für Zeiträume vor der Antragstellung nicht erbracht. Dies gilt nicht für die Inanspruchnahme der ersten beiden Sitzungen in der Traumaambulanz sowie die Kontaktaufnahme des Fallmanagements mit möglicherweise berechtigten Personen.</w:t>
      </w:r>
    </w:p>
    <w:p>
      <w:r>
        <w:t xml:space="preserve">(5) Die Kosten für die ersten beiden Sitzungen in der Traumaambulanz sowie die erste Kontaktaufnahme durch das Fallmanagement werden auch dann getragen, wenn Ansprüche nach diesem Buch nicht bestehen, auch nicht im Erleichterten Verfahren nach § 115.</w:t>
      </w:r>
    </w:p>
    <w:p>
      <w:r>
        <w:rPr>
          <w:color w:val="555555"/>
          <w:sz w:val="17"/>
        </w:rPr>
        <w:t xml:space="preserve">Zitiervorschlag: § 11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