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103 SGB 14 — Leistungen für Zivildienstgeschädigte und Hinterbliebene</w:t>
      </w:r>
    </w:p>
    <w:p>
      <w:r>
        <w:rPr>
          <w:color w:val="555555"/>
          <w:sz w:val="18"/>
        </w:rPr>
        <w:t xml:space="preserve">Vierzehntes Buch Sozialgesetzbuch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Zivildienstgeschädigte erhalten bei Vorliegen der Voraussetzungen nach § 23</w:t>
      </w:r>
    </w:p>
    <w:p>
      <w:pPr>
        <w:ind w:left="420"/>
      </w:pPr>
      <w:r>
        <w:t xml:space="preserve">1. nach Beendigung des Dienstverhältnisses Leistungen der Sozialen Entschädigung,</w:t>
      </w:r>
    </w:p>
    <w:p>
      <w:pPr>
        <w:ind w:left="420"/>
      </w:pPr>
      <w:r>
        <w:t xml:space="preserve">2. während des Dienstverhältnisses Leistungen des Kapitels 4 Abschnitt 3 und des Kapitels 9 Abschnitt 1.</w:t>
      </w:r>
    </w:p>
    <w:p>
      <w:r>
        <w:rPr>
          <w:color w:val="555555"/>
          <w:sz w:val="17"/>
        </w:rPr>
        <w:t xml:space="preserve">Zitiervorschlag: § 103 SGB 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https://recht.nulegal.eu/gesetze/SGB%2014/103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