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SGB 12 — Verordnungsermächtigungen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kann durch Rechtsverordnung mit Zustimmung des Bundesrates Näheres über die Berechnung des Einkommens nach § 82, insbesondere der Einkünfte aus Land- und Forstwirtschaft, aus Gewerbebetrieb und aus selbständiger Arbeit bestimmen.</w:t>
      </w:r>
    </w:p>
    <w:p>
      <w:r>
        <w:t xml:space="preserve">(2) Das Bundesministerium für Arbeit und Soziales kann durch Rechtsverordnung mit Zustimmung des Bundesrates die Höhe der Barbeträge oder sonstigen Geldwerte im Sinne des § 90 Abs. 2 Nr. 9 bestimmen.</w:t>
      </w:r>
    </w:p>
    <w:p>
      <w:r>
        <w:rPr>
          <w:color w:val="555555"/>
          <w:sz w:val="17"/>
        </w:rPr>
        <w:t xml:space="preserve">Zitiervorschlag: § 96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