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84 SGB 12 — Zuwendungen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Zuwendungen der freien Wohlfahrtspflege bleiben als Einkommen außer Betracht. Dies gilt nicht, soweit die Zuwendung die Lage der Leistungsberechtigten so günstig beeinflusst, dass daneben Sozialhilfe ungerechtfertigt wäre.</w:t>
      </w:r>
    </w:p>
    <w:p>
      <w:r>
        <w:t xml:space="preserve">(2) Zuwendungen, die ein anderer erbringt, ohne hierzu eine rechtliche oder sittliche Pflicht zu haben, sollen als Einkommen außer Betracht bleiben, soweit ihre Berücksichtigung für die Leistungsberechtigten eine besondere Härte bedeuten würde.</w:t>
      </w:r>
    </w:p>
    <w:p>
      <w:r>
        <w:rPr>
          <w:color w:val="555555"/>
          <w:sz w:val="17"/>
        </w:rPr>
        <w:t xml:space="preserve">Zitiervorschlag: § 84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https://recht.nulegal.eu/gesetze/SGB%2012/84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