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SGB 12 — Nach Zweck und Inhalt bestimmte Leistungen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Leistungen, die auf Grund öffentlich-rechtlicher Vorschriften zu einem ausdrücklich genannten Zweck erbracht werden, sind nur so weit als Einkommen zu berücksichtigen, als die Sozialhilfe im Einzelfall demselben Zweck dient.</w:t>
      </w:r>
    </w:p>
    <w:p>
      <w:r>
        <w:t xml:space="preserve">(2) Eine Entschädigung, die wegen eines Schadens, der nicht Vermögensschaden ist, nach § 253 Abs. 2 des Bürgerlichen Gesetzbuches geleistet wird, ist nicht als Einkommen zu berücksichtigen.</w:t>
      </w:r>
    </w:p>
    <w:p>
      <w:r>
        <w:rPr>
          <w:color w:val="555555"/>
          <w:sz w:val="17"/>
        </w:rPr>
        <w:t xml:space="preserve">Zitiervorschlag: § 83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