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61a SGB 12 — Begriff der Pflegebedürftigkeit</w:t>
      </w:r>
    </w:p>
    <w:p>
      <w:r>
        <w:rPr>
          <w:color w:val="555555"/>
          <w:sz w:val="18"/>
        </w:rPr>
        <w:t xml:space="preserve">Sozialgesetzbuch (SGB) Zwölftes Buch (XII) - Sozialhilfe - (Artikel 1 des Gesetzes vom 27. Dezember 2003, BGBl. I S. 3022)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Pflegebedürftig sind Personen, die gesundheitlich bedingte Beeinträchtigungen der Selbständigkeit oder der Fähigkeiten aufweisen und deshalb der Hilfe durch andere bedürfen. Pflegebedürftige Personen im Sinne des Satzes 1 können körperliche, kognitive oder psychische Beeinträchtigungen oder gesundheitlich bedingte Belastungen oder Anforderungen nicht selbständig kompensieren oder bewältigen.</w:t>
      </w:r>
    </w:p>
    <w:p>
      <w:r>
        <w:t xml:space="preserve">(2) Maßgeblich für die Beurteilung der Beeinträchtigungen der Selbständigkeit oder Fähigkeiten sind die folgenden Bereiche mit folgenden Kriterien:</w:t>
      </w:r>
    </w:p>
    <w:p>
      <w:pPr>
        <w:ind w:left="420"/>
      </w:pPr>
      <w:r>
        <w:t xml:space="preserve">1. Mobilität mit den Kriterien</w:t>
      </w:r>
    </w:p>
    <w:p>
      <w:pPr>
        <w:ind w:left="780"/>
      </w:pPr>
      <w:r>
        <w:t xml:space="preserve">a) Positionswechsel im Bett,</w:t>
      </w:r>
    </w:p>
    <w:p>
      <w:pPr>
        <w:ind w:left="780"/>
      </w:pPr>
      <w:r>
        <w:t xml:space="preserve">b) Halten einer stabilen Sitzposition,</w:t>
      </w:r>
    </w:p>
    <w:p>
      <w:pPr>
        <w:ind w:left="780"/>
      </w:pPr>
      <w:r>
        <w:t xml:space="preserve">c) Umsetzen,</w:t>
      </w:r>
    </w:p>
    <w:p>
      <w:pPr>
        <w:ind w:left="780"/>
      </w:pPr>
      <w:r>
        <w:t xml:space="preserve">d) Fortbewegen innerhalb des Wohnbereichs,</w:t>
      </w:r>
    </w:p>
    <w:p>
      <w:pPr>
        <w:ind w:left="780"/>
      </w:pPr>
      <w:r>
        <w:t xml:space="preserve">e) Treppensteigen;</w:t>
      </w:r>
    </w:p>
    <w:p>
      <w:pPr>
        <w:ind w:left="420"/>
      </w:pPr>
      <w:r>
        <w:t xml:space="preserve">2. kognitive und kommunikative Fähigkeiten mit den Kriterien</w:t>
      </w:r>
    </w:p>
    <w:p>
      <w:pPr>
        <w:ind w:left="780"/>
      </w:pPr>
      <w:r>
        <w:t xml:space="preserve">a) Erkennen von Personen aus dem näheren Umfeld,</w:t>
      </w:r>
    </w:p>
    <w:p>
      <w:pPr>
        <w:ind w:left="780"/>
      </w:pPr>
      <w:r>
        <w:t xml:space="preserve">b) örtliche Orientierung,</w:t>
      </w:r>
    </w:p>
    <w:p>
      <w:pPr>
        <w:ind w:left="780"/>
      </w:pPr>
      <w:r>
        <w:t xml:space="preserve">c) zeitliche Orientierung,</w:t>
      </w:r>
    </w:p>
    <w:p>
      <w:pPr>
        <w:ind w:left="780"/>
      </w:pPr>
      <w:r>
        <w:t xml:space="preserve">d) Erinnern an wesentliche Ereignisse oder Beobachtungen,</w:t>
      </w:r>
    </w:p>
    <w:p>
      <w:pPr>
        <w:ind w:left="780"/>
      </w:pPr>
      <w:r>
        <w:t xml:space="preserve">e) Steuern von mehrschrittigen Alltagshandlungen,</w:t>
      </w:r>
    </w:p>
    <w:p>
      <w:pPr>
        <w:ind w:left="780"/>
      </w:pPr>
      <w:r>
        <w:t xml:space="preserve">f) Treffen von Entscheidungen im Alltagsleben,</w:t>
      </w:r>
    </w:p>
    <w:p>
      <w:pPr>
        <w:ind w:left="780"/>
      </w:pPr>
      <w:r>
        <w:t xml:space="preserve">g) Verstehen von Sachverhalten und Informationen,</w:t>
      </w:r>
    </w:p>
    <w:p>
      <w:pPr>
        <w:ind w:left="780"/>
      </w:pPr>
      <w:r>
        <w:t xml:space="preserve">h) Erkennen von Risiken und Gefahren,</w:t>
      </w:r>
    </w:p>
    <w:p>
      <w:pPr>
        <w:ind w:left="780"/>
      </w:pPr>
      <w:r>
        <w:t xml:space="preserve">i) Mitteilen von elementaren Bedürfnissen,</w:t>
      </w:r>
    </w:p>
    <w:p>
      <w:pPr>
        <w:ind w:left="780"/>
      </w:pPr>
      <w:r>
        <w:t xml:space="preserve">j) Verstehen von Aufforderungen,</w:t>
      </w:r>
    </w:p>
    <w:p>
      <w:pPr>
        <w:ind w:left="780"/>
      </w:pPr>
      <w:r>
        <w:t xml:space="preserve">k) Beteiligen an einem Gespräch;</w:t>
      </w:r>
    </w:p>
    <w:p>
      <w:pPr>
        <w:ind w:left="420"/>
      </w:pPr>
      <w:r>
        <w:t xml:space="preserve">3. Verhaltensweisen und psychische Problemlagen mit den Kriterien</w:t>
      </w:r>
    </w:p>
    <w:p>
      <w:pPr>
        <w:ind w:left="780"/>
      </w:pPr>
      <w:r>
        <w:t xml:space="preserve">a) motorisch geprägte Verhaltensauffälligkeiten,</w:t>
      </w:r>
    </w:p>
    <w:p>
      <w:pPr>
        <w:ind w:left="780"/>
      </w:pPr>
      <w:r>
        <w:t xml:space="preserve">b) nächtliche Unruhe,</w:t>
      </w:r>
    </w:p>
    <w:p>
      <w:pPr>
        <w:ind w:left="780"/>
      </w:pPr>
      <w:r>
        <w:t xml:space="preserve">c) selbstschädigendes und autoaggressives Verhalten,</w:t>
      </w:r>
    </w:p>
    <w:p>
      <w:pPr>
        <w:ind w:left="780"/>
      </w:pPr>
      <w:r>
        <w:t xml:space="preserve">d) Beschädigen von Gegenständen,</w:t>
      </w:r>
    </w:p>
    <w:p>
      <w:pPr>
        <w:ind w:left="780"/>
      </w:pPr>
      <w:r>
        <w:t xml:space="preserve">e) physisch aggressives Verhalten gegenüber anderen Personen,</w:t>
      </w:r>
    </w:p>
    <w:p>
      <w:pPr>
        <w:ind w:left="780"/>
      </w:pPr>
      <w:r>
        <w:t xml:space="preserve">f) verbale Aggression,</w:t>
      </w:r>
    </w:p>
    <w:p>
      <w:pPr>
        <w:ind w:left="780"/>
      </w:pPr>
      <w:r>
        <w:t xml:space="preserve">g) andere pflegerelevante vokale Auffälligkeiten,</w:t>
      </w:r>
    </w:p>
    <w:p>
      <w:pPr>
        <w:ind w:left="780"/>
      </w:pPr>
      <w:r>
        <w:t xml:space="preserve">h) Abwehr pflegerischer und anderer unterstützender Maßnahmen,</w:t>
      </w:r>
    </w:p>
    <w:p>
      <w:pPr>
        <w:ind w:left="780"/>
      </w:pPr>
      <w:r>
        <w:t xml:space="preserve">i) Wahnvorstellungen,</w:t>
      </w:r>
    </w:p>
    <w:p>
      <w:pPr>
        <w:ind w:left="780"/>
      </w:pPr>
      <w:r>
        <w:t xml:space="preserve">j) Ängste,</w:t>
      </w:r>
    </w:p>
    <w:p>
      <w:pPr>
        <w:ind w:left="780"/>
      </w:pPr>
      <w:r>
        <w:t xml:space="preserve">k) Antriebslosigkeit bei depressiver Stimmungslage,</w:t>
      </w:r>
    </w:p>
    <w:p>
      <w:pPr>
        <w:ind w:left="780"/>
      </w:pPr>
      <w:r>
        <w:t xml:space="preserve">l) sozial inadäquate Verhaltensweisen,</w:t>
      </w:r>
    </w:p>
    <w:p>
      <w:pPr>
        <w:ind w:left="780"/>
      </w:pPr>
      <w:r>
        <w:t xml:space="preserve">m) sonstige pflegerelevante inadäquate Handlungen;</w:t>
      </w:r>
    </w:p>
    <w:p>
      <w:pPr>
        <w:ind w:left="420"/>
      </w:pPr>
      <w:r>
        <w:t xml:space="preserve">4. Selbstversorgung mit den Kriterien</w:t>
      </w:r>
    </w:p>
    <w:p>
      <w:pPr>
        <w:ind w:left="780"/>
      </w:pPr>
      <w:r>
        <w:t xml:space="preserve">a) Waschen des vorderen Oberkörpers,</w:t>
      </w:r>
    </w:p>
    <w:p>
      <w:pPr>
        <w:ind w:left="780"/>
      </w:pPr>
      <w:r>
        <w:t xml:space="preserve">b) Körperpflege im Bereich des Kopfes,</w:t>
      </w:r>
    </w:p>
    <w:p>
      <w:pPr>
        <w:ind w:left="780"/>
      </w:pPr>
      <w:r>
        <w:t xml:space="preserve">c) Waschen des Intimbereichs,</w:t>
      </w:r>
    </w:p>
    <w:p>
      <w:pPr>
        <w:ind w:left="780"/>
      </w:pPr>
      <w:r>
        <w:t xml:space="preserve">d) Duschen und Baden einschließlich Waschen der Haare,</w:t>
      </w:r>
    </w:p>
    <w:p>
      <w:pPr>
        <w:ind w:left="780"/>
      </w:pPr>
      <w:r>
        <w:t xml:space="preserve">e) An- und Auskleiden des Oberkörpers,</w:t>
      </w:r>
    </w:p>
    <w:p>
      <w:pPr>
        <w:ind w:left="780"/>
      </w:pPr>
      <w:r>
        <w:t xml:space="preserve">f) An- und Auskleiden des Unterkörpers,</w:t>
      </w:r>
    </w:p>
    <w:p>
      <w:pPr>
        <w:ind w:left="780"/>
      </w:pPr>
      <w:r>
        <w:t xml:space="preserve">g) mundgerechtes Zubereiten der Nahrung und Eingießen von Getränken,</w:t>
      </w:r>
    </w:p>
    <w:p>
      <w:pPr>
        <w:ind w:left="780"/>
      </w:pPr>
      <w:r>
        <w:t xml:space="preserve">h) Essen,</w:t>
      </w:r>
    </w:p>
    <w:p>
      <w:pPr>
        <w:ind w:left="780"/>
      </w:pPr>
      <w:r>
        <w:t xml:space="preserve">i) Trinken,</w:t>
      </w:r>
    </w:p>
    <w:p>
      <w:pPr>
        <w:ind w:left="780"/>
      </w:pPr>
      <w:r>
        <w:t xml:space="preserve">j) Benutzen einer Toilette oder eines Toilettenstuhls,</w:t>
      </w:r>
    </w:p>
    <w:p>
      <w:pPr>
        <w:ind w:left="780"/>
      </w:pPr>
      <w:r>
        <w:t xml:space="preserve">k) Bewältigen der Folgen einer Harninkontinenz und Umgang mit Dauerkatheter und Urostoma,</w:t>
      </w:r>
    </w:p>
    <w:p>
      <w:pPr>
        <w:ind w:left="780"/>
      </w:pPr>
      <w:r>
        <w:t xml:space="preserve">l) Bewältigen der Folgen einer Stuhlinkontinenz und Umgang mit Stoma,</w:t>
      </w:r>
    </w:p>
    <w:p>
      <w:pPr>
        <w:ind w:left="780"/>
      </w:pPr>
      <w:r>
        <w:t xml:space="preserve">m) Ernährung parenteral oder über Sonde,</w:t>
      </w:r>
    </w:p>
    <w:p>
      <w:pPr>
        <w:ind w:left="780"/>
      </w:pPr>
      <w:r>
        <w:t xml:space="preserve">n) Bestehen gravierender Probleme bei der Nahrungsaufnahme bei Kindern bis zu 18 Monaten, die einen außergewöhnlich pflegeintensiven Hilfebedarf auslösen;</w:t>
      </w:r>
    </w:p>
    <w:p>
      <w:pPr>
        <w:ind w:left="420"/>
      </w:pPr>
      <w:r>
        <w:t xml:space="preserve">5. Bewältigung von und selbständiger Umgang mit krankheits- oder therapiebedingten Anforderungen und Belastungen in Bezug auf</w:t>
      </w:r>
    </w:p>
    <w:p>
      <w:pPr>
        <w:ind w:left="780"/>
      </w:pPr>
      <w:r>
        <w:t xml:space="preserve">a) Medikation,</w:t>
      </w:r>
    </w:p>
    <w:p>
      <w:pPr>
        <w:ind w:left="780"/>
      </w:pPr>
      <w:r>
        <w:t xml:space="preserve">b) Injektionen,</w:t>
      </w:r>
    </w:p>
    <w:p>
      <w:pPr>
        <w:ind w:left="780"/>
      </w:pPr>
      <w:r>
        <w:t xml:space="preserve">c) Versorgung intravenöser Zugänge,</w:t>
      </w:r>
    </w:p>
    <w:p>
      <w:pPr>
        <w:ind w:left="780"/>
      </w:pPr>
      <w:r>
        <w:t xml:space="preserve">d) Absaugen und Sauerstoffgabe,</w:t>
      </w:r>
    </w:p>
    <w:p>
      <w:pPr>
        <w:ind w:left="780"/>
      </w:pPr>
      <w:r>
        <w:t xml:space="preserve">e) Einreibungen sowie Kälte- und Wärmeanwendungen,</w:t>
      </w:r>
    </w:p>
    <w:p>
      <w:pPr>
        <w:ind w:left="780"/>
      </w:pPr>
      <w:r>
        <w:t xml:space="preserve">f) Messung und Deutung von Körperzuständen,</w:t>
      </w:r>
    </w:p>
    <w:p>
      <w:pPr>
        <w:ind w:left="780"/>
      </w:pPr>
      <w:r>
        <w:t xml:space="preserve">g) körpernahe Hilfsmittel,</w:t>
      </w:r>
    </w:p>
    <w:p>
      <w:pPr>
        <w:ind w:left="780"/>
      </w:pPr>
      <w:r>
        <w:t xml:space="preserve">h) Verbandswechsel und Wundversorgung,</w:t>
      </w:r>
    </w:p>
    <w:p>
      <w:pPr>
        <w:ind w:left="780"/>
      </w:pPr>
      <w:r>
        <w:t xml:space="preserve">i) Versorgung mit Stoma,</w:t>
      </w:r>
    </w:p>
    <w:p>
      <w:pPr>
        <w:ind w:left="780"/>
      </w:pPr>
      <w:r>
        <w:t xml:space="preserve">j) regelmäßige Einmalkatheterisierung und Nutzung von Abführmethoden,</w:t>
      </w:r>
    </w:p>
    <w:p>
      <w:pPr>
        <w:ind w:left="780"/>
      </w:pPr>
      <w:r>
        <w:t xml:space="preserve">k) Therapiemaßnahmen in häuslicher Umgebung,</w:t>
      </w:r>
    </w:p>
    <w:p>
      <w:pPr>
        <w:ind w:left="780"/>
      </w:pPr>
      <w:r>
        <w:t xml:space="preserve">l) zeit- und technikintensive Maßnahmen in häuslicher Umgebung,</w:t>
      </w:r>
    </w:p>
    <w:p>
      <w:pPr>
        <w:ind w:left="780"/>
      </w:pPr>
      <w:r>
        <w:t xml:space="preserve">m) Arztbesuche,</w:t>
      </w:r>
    </w:p>
    <w:p>
      <w:pPr>
        <w:ind w:left="780"/>
      </w:pPr>
      <w:r>
        <w:t xml:space="preserve">n) Besuch anderer medizinischer oder therapeutischer Einrichtungen,</w:t>
      </w:r>
    </w:p>
    <w:p>
      <w:pPr>
        <w:ind w:left="780"/>
      </w:pPr>
      <w:r>
        <w:t xml:space="preserve">o) zeitlich ausgedehnte Besuche medizinischer oder therapeutischer Einrichtungen,</w:t>
      </w:r>
    </w:p>
    <w:p>
      <w:pPr>
        <w:ind w:left="780"/>
      </w:pPr>
      <w:r>
        <w:t xml:space="preserve">p) Besuche von Einrichtungen zur Frühförderung bei Kindern,</w:t>
      </w:r>
    </w:p>
    <w:p>
      <w:pPr>
        <w:ind w:left="780"/>
      </w:pPr>
      <w:r>
        <w:t xml:space="preserve">q) Einhalten einer Diät oder anderer krankheits- oder therapiebedingter Verhaltensvorschriften;</w:t>
      </w:r>
    </w:p>
    <w:p>
      <w:pPr>
        <w:ind w:left="420"/>
      </w:pPr>
      <w:r>
        <w:t xml:space="preserve">6. Gestaltung des Alltagslebens und sozialer Kontakte mit den Kriterien</w:t>
      </w:r>
    </w:p>
    <w:p>
      <w:pPr>
        <w:ind w:left="780"/>
      </w:pPr>
      <w:r>
        <w:t xml:space="preserve">a) Gestaltung des Tagesablaufs und Anpassung an Veränderungen,</w:t>
      </w:r>
    </w:p>
    <w:p>
      <w:pPr>
        <w:ind w:left="780"/>
      </w:pPr>
      <w:r>
        <w:t xml:space="preserve">b) Ruhen und Schlafen,</w:t>
      </w:r>
    </w:p>
    <w:p>
      <w:pPr>
        <w:ind w:left="780"/>
      </w:pPr>
      <w:r>
        <w:t xml:space="preserve">c) Sichbeschäftigen,</w:t>
      </w:r>
    </w:p>
    <w:p>
      <w:pPr>
        <w:ind w:left="780"/>
      </w:pPr>
      <w:r>
        <w:t xml:space="preserve">d) Vornehmen von in die Zukunft gerichteten Planungen,</w:t>
      </w:r>
    </w:p>
    <w:p>
      <w:pPr>
        <w:ind w:left="780"/>
      </w:pPr>
      <w:r>
        <w:t xml:space="preserve">e) Interaktion mit Personen im direkten Kontakt,</w:t>
      </w:r>
    </w:p>
    <w:p>
      <w:pPr>
        <w:ind w:left="780"/>
      </w:pPr>
      <w:r>
        <w:t xml:space="preserve">f) Kontaktpflege zu Personen außerhalb des direkten Umfelds.</w:t>
      </w:r>
    </w:p>
    <w:p>
      <w:r>
        <w:rPr>
          <w:color w:val="555555"/>
          <w:sz w:val="17"/>
        </w:rPr>
        <w:t xml:space="preserve">Zitiervorschlag: § 61a SGB 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https://recht.nulegal.eu/gesetze/SGB%2012/61a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