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SGB 12 — Persönliches Budget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Außer Kraft: § 57 ist seit 10.01.2020 nicht mehr im SGB 12 enthalten. Angezeigt wird die letzte bekannte Fassung, Stand 10.06.2019.</w:t>
      </w:r>
    </w:p>
    <w:p>
      <w:r>
        <w:t xml:space="preserve">Leistungsberechtigte nach § 53 erhalten auf Antrag Leistungen der Eingliederungshilfe auch als Teil eines Persönlichen Budgets. § 29 des Neunten Buches ist insoweit anzuwenden.</w:t>
      </w:r>
    </w:p>
    <w:p>
      <w:r>
        <w:rPr>
          <w:color w:val="555555"/>
          <w:sz w:val="17"/>
        </w:rPr>
        <w:t xml:space="preserve">Zitiervorschlag: § 57 SGB 12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https://recht.nulegal.eu/gesetze/SGB%2012/57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