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44c SGB 12 — Erstattungsansprüche zwischen Trägern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Verhältnis der für die Ausführung des Gesetzes nach diesem Kapitel zuständigen Träger untereinander sind die Vorschriften über die Erstattung nach</w:t>
      </w:r>
    </w:p>
    <w:p>
      <w:pPr>
        <w:ind w:left="420"/>
      </w:pPr>
      <w:r>
        <w:t xml:space="preserve">1. dem Zweiten Abschnitt des Dreizehnten Kapitels sowie</w:t>
      </w:r>
    </w:p>
    <w:p>
      <w:pPr>
        <w:ind w:left="420"/>
      </w:pPr>
      <w:r>
        <w:t xml:space="preserve">2. dem Zweiten Abschnitt des Dritten Kapitels des Zehnten Buches</w:t>
      </w:r>
    </w:p>
    <w:p>
      <w:r>
        <w:t xml:space="preserve">für Geldleistungen nach diesem Kapitel nicht anzuwenden.</w:t>
      </w:r>
    </w:p>
    <w:p>
      <w:r>
        <w:rPr>
          <w:color w:val="555555"/>
          <w:sz w:val="17"/>
        </w:rPr>
        <w:t xml:space="preserve">Zitiervorschlag: § 44c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