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SGB 12 — Bedarfe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Bedarfe nach diesem Kapitel umfassen:</w:t>
      </w:r>
    </w:p>
    <w:p>
      <w:pPr>
        <w:ind w:left="420"/>
      </w:pPr>
      <w:r>
        <w:t xml:space="preserve">1. die Regelsätze nach den Regelbedarfsstufen der Anlage zu § 28; § 27a Absatz 3 und Absatz 4 ist anzuwenden; § 29 Absatz 1 Satz 1 letzter Halbsatz und Absatz 2 bis 5 ist nicht anzuwenden,</w:t>
      </w:r>
    </w:p>
    <w:p>
      <w:pPr>
        <w:ind w:left="420"/>
      </w:pPr>
      <w:r>
        <w:t xml:space="preserve">2. die zusätzlichen Bedarfe nach dem Zweiten Abschnitt des Dritten Kapitels sowie Bedarfe nach § 42b,</w:t>
      </w:r>
    </w:p>
    <w:p>
      <w:pPr>
        <w:ind w:left="420"/>
      </w:pPr>
      <w:r>
        <w:t xml:space="preserve">3. die Bedarfe für Bildung und Teilhabe nach dem Dritten Abschnitt des Dritten Kapitels, ausgenommen die Bedarfe nach § 34 Absatz 7,</w:t>
      </w:r>
    </w:p>
    <w:p>
      <w:pPr>
        <w:ind w:left="420"/>
      </w:pPr>
      <w:r>
        <w:t xml:space="preserve">4. Bedarfe für Unterkunft und Heizung</w:t>
      </w:r>
    </w:p>
    <w:p>
      <w:pPr>
        <w:ind w:left="780"/>
      </w:pPr>
      <w:r>
        <w:t xml:space="preserve">a) bei Leistungsberechtigten außerhalb von Einrichtungen nach § 42a,</w:t>
      </w:r>
    </w:p>
    <w:p>
      <w:pPr>
        <w:ind w:left="780"/>
      </w:pPr>
      <w:r>
        <w:t xml:space="preserve">b) bei Leistungsberechtigten, deren notwendiger Lebensunterhalt sich nach § 27b Absatz 1 Satz 2 oder nach § 27c Absatz 1 Nummer 2 ergibt, in Höhe der nach § 45a ermittelten durchschnittlichen Warmmiete von Einpersonenhaushalten,</w:t>
      </w:r>
    </w:p>
    <w:p>
      <w:pPr>
        <w:ind w:left="420"/>
      </w:pPr>
      <w:r>
        <w:t xml:space="preserve">5. ergänzende Darlehen nach § 37 Absatz 1 und Darlehen bei am Monatsende fälligen Einkommen nach § 37a.</w:t>
      </w:r>
    </w:p>
    <w:p>
      <w:r>
        <w:rPr>
          <w:color w:val="555555"/>
          <w:sz w:val="17"/>
        </w:rPr>
        <w:t xml:space="preserve">Zitiervorschlag: § 42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