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SGB 12 — Leistungsberechtigte</w:t>
      </w:r>
    </w:p>
    <w:p>
      <w:r>
        <w:rPr>
          <w:color w:val="555555"/>
          <w:sz w:val="18"/>
        </w:rPr>
        <w:t xml:space="preserve">Sozialgesetzbuch (SGB) Zwölftes Buch (XII) - Sozialhilfe - (Artikel 1 des Gesetzes vom 27. Dezember 2003, BGBl. I S. 3022)</w:t>
      </w:r>
    </w:p>
    <w:p>
      <w:r>
        <w:rPr>
          <w:color w:val="555555"/>
          <w:sz w:val="18"/>
        </w:rPr>
        <w:t xml:space="preserve">Stand: 01.07.2021 (konsolidierte Textfassung, kein amtliches Inkrafttretensdatum)</w:t>
      </w:r>
    </w:p>
    <w:p>
      <w:r>
        <w:t xml:space="preserve">(1) Leistungsberechtigt nach diesem Kapitel sind Personen mit gewöhnlichem Aufenthalt im Inland, die ihren notwendigen Lebensunterhalt nicht oder nicht ausreichend aus Einkommen und Vermögen nach § 43 bestreiten können, wenn sie die Voraussetzungen nach Absatz 2, 3 oder 3a erfüllen.</w:t>
      </w:r>
    </w:p>
    <w:p>
      <w:r>
        <w:t xml:space="preserve">(2) Leistungsberechtigt sind Personen nach Absatz 1 wegen Alters, wenn sie die Altersgrenze erreicht haben. Personen, die vor dem 1. Januar 1947 geboren sind, erreichen die Altersgrenze mit Vollendung des 65. Lebensjahres. Für Personen, die nach dem 31. Dezember 1946 geboren sind, wird die Altersgrenze wie folgt angehoben:</w:t>
      </w:r>
    </w:p>
    <w:p>
      <w:r>
        <w:rPr>
          <w:rFonts w:ascii="Courier New" w:hAnsi="Courier New"/>
          <w:sz w:val="17"/>
        </w:rPr>
        <w:t xml:space="preserve">für den Geburtsjahrgang    erfolgt eine Anhebung um Monate    auf Vollendung eines Lebensalters von</w:t>
      </w:r>
    </w:p>
    <w:p>
      <w:r>
        <w:rPr>
          <w:rFonts w:ascii="Courier New" w:hAnsi="Courier New"/>
          <w:sz w:val="17"/>
        </w:rPr>
        <w:t xml:space="preserve">1947    1    65 Jahren und 1 Monat</w:t>
      </w:r>
    </w:p>
    <w:p>
      <w:r>
        <w:rPr>
          <w:rFonts w:ascii="Courier New" w:hAnsi="Courier New"/>
          <w:sz w:val="17"/>
        </w:rPr>
        <w:t xml:space="preserve">1948    2    65 Jahren und 2 Monaten</w:t>
      </w:r>
    </w:p>
    <w:p>
      <w:r>
        <w:rPr>
          <w:rFonts w:ascii="Courier New" w:hAnsi="Courier New"/>
          <w:sz w:val="17"/>
        </w:rPr>
        <w:t xml:space="preserve">1949    3    65 Jahren und 3 Monaten</w:t>
      </w:r>
    </w:p>
    <w:p>
      <w:r>
        <w:rPr>
          <w:rFonts w:ascii="Courier New" w:hAnsi="Courier New"/>
          <w:sz w:val="17"/>
        </w:rPr>
        <w:t xml:space="preserve">1950    4    65 Jahren und 4 Monaten</w:t>
      </w:r>
    </w:p>
    <w:p>
      <w:r>
        <w:rPr>
          <w:rFonts w:ascii="Courier New" w:hAnsi="Courier New"/>
          <w:sz w:val="17"/>
        </w:rPr>
        <w:t xml:space="preserve">1951    5    65 Jahren und 5 Monaten</w:t>
      </w:r>
    </w:p>
    <w:p>
      <w:r>
        <w:rPr>
          <w:rFonts w:ascii="Courier New" w:hAnsi="Courier New"/>
          <w:sz w:val="17"/>
        </w:rPr>
        <w:t xml:space="preserve">1952    6    65 Jahren und 6 Monaten</w:t>
      </w:r>
    </w:p>
    <w:p>
      <w:r>
        <w:rPr>
          <w:rFonts w:ascii="Courier New" w:hAnsi="Courier New"/>
          <w:sz w:val="17"/>
        </w:rPr>
        <w:t xml:space="preserve">1953    7    65 Jahren und 7 Monaten</w:t>
      </w:r>
    </w:p>
    <w:p>
      <w:r>
        <w:rPr>
          <w:rFonts w:ascii="Courier New" w:hAnsi="Courier New"/>
          <w:sz w:val="17"/>
        </w:rPr>
        <w:t xml:space="preserve">1954    8    65 Jahren und 8 Monaten</w:t>
      </w:r>
    </w:p>
    <w:p>
      <w:r>
        <w:rPr>
          <w:rFonts w:ascii="Courier New" w:hAnsi="Courier New"/>
          <w:sz w:val="17"/>
        </w:rPr>
        <w:t xml:space="preserve">1955    9    65 Jahren und 9 Monaten</w:t>
      </w:r>
    </w:p>
    <w:p>
      <w:r>
        <w:rPr>
          <w:rFonts w:ascii="Courier New" w:hAnsi="Courier New"/>
          <w:sz w:val="17"/>
        </w:rPr>
        <w:t xml:space="preserve">1956    10    65 Jahren und 10 Monaten</w:t>
      </w:r>
    </w:p>
    <w:p>
      <w:r>
        <w:rPr>
          <w:rFonts w:ascii="Courier New" w:hAnsi="Courier New"/>
          <w:sz w:val="17"/>
        </w:rPr>
        <w:t xml:space="preserve">1957    11    65 Jahren und 11 Monaten</w:t>
      </w:r>
    </w:p>
    <w:p>
      <w:r>
        <w:rPr>
          <w:rFonts w:ascii="Courier New" w:hAnsi="Courier New"/>
          <w:sz w:val="17"/>
        </w:rPr>
        <w:t xml:space="preserve">1958    12    66 Jahren</w:t>
      </w:r>
    </w:p>
    <w:p>
      <w:r>
        <w:rPr>
          <w:rFonts w:ascii="Courier New" w:hAnsi="Courier New"/>
          <w:sz w:val="17"/>
        </w:rPr>
        <w:t xml:space="preserve">1959    14    66 Jahren und 2 Monaten</w:t>
      </w:r>
    </w:p>
    <w:p>
      <w:r>
        <w:rPr>
          <w:rFonts w:ascii="Courier New" w:hAnsi="Courier New"/>
          <w:sz w:val="17"/>
        </w:rPr>
        <w:t xml:space="preserve">1960    16    66 Jahren und 4 Monaten</w:t>
      </w:r>
    </w:p>
    <w:p>
      <w:r>
        <w:rPr>
          <w:rFonts w:ascii="Courier New" w:hAnsi="Courier New"/>
          <w:sz w:val="17"/>
        </w:rPr>
        <w:t xml:space="preserve">1961    18    66 Jahren und 6 Monaten</w:t>
      </w:r>
    </w:p>
    <w:p>
      <w:r>
        <w:rPr>
          <w:rFonts w:ascii="Courier New" w:hAnsi="Courier New"/>
          <w:sz w:val="17"/>
        </w:rPr>
        <w:t xml:space="preserve">1962    20    66 Jahren und 8 Monaten</w:t>
      </w:r>
    </w:p>
    <w:p>
      <w:r>
        <w:rPr>
          <w:rFonts w:ascii="Courier New" w:hAnsi="Courier New"/>
          <w:sz w:val="17"/>
        </w:rPr>
        <w:t xml:space="preserve">1963    22    66 Jahren und 10 Monaten</w:t>
      </w:r>
    </w:p>
    <w:p>
      <w:r>
        <w:rPr>
          <w:rFonts w:ascii="Courier New" w:hAnsi="Courier New"/>
          <w:sz w:val="17"/>
        </w:rPr>
        <w:t xml:space="preserve">ab 1964    24    67 Jahren.</w:t>
      </w:r>
    </w:p>
    <w:p>
      <w:r>
        <w:t xml:space="preserve">(3) Leistungsberechtigt sind Personen nach Absatz 1 wegen einer dauerhaften vollen Erwerbsminderung, wenn sie das 18. Lebensjahr vollendet haben, unabhängig von der jeweiligen Arbeitsmarktlage voll erwerbsgemindert im Sinne des § 43 Absatz 2 des Sechsten Buches sind und bei denen unwahrscheinlich ist, dass die volle Erwerbsminderung behoben werden kann.</w:t>
      </w:r>
    </w:p>
    <w:p>
      <w:r>
        <w:t xml:space="preserve">(3a) Leistungsberechtigt sind Personen nach Absatz 1, die das 18. Lebensjahr vollendet haben, für den Zeitraum, in dem sie</w:t>
      </w:r>
    </w:p>
    <w:p>
      <w:pPr>
        <w:ind w:left="420"/>
      </w:pPr>
      <w:r>
        <w:t xml:space="preserve">1. in einer Werkstatt für behinderte Menschen (§ 57 des Neunten Buches) oder bei einem anderen Leistungsanbieter (§ 60 des Neunten Buches) das Eingangsverfahren und den Berufsbildungsbereich durchlaufen oder</w:t>
      </w:r>
    </w:p>
    <w:p>
      <w:pPr>
        <w:ind w:left="420"/>
      </w:pPr>
      <w:r>
        <w:t xml:space="preserve">2. in einem Ausbildungsverhältnis stehen, für das sie ein Budget für Ausbildung (§ 61a des Neunten Buches) erhalten.</w:t>
      </w:r>
    </w:p>
    <w:p>
      <w:r>
        <w:t xml:space="preserve">(4) Keinen Anspruch auf Leistungen nach diesem Kapitel hat, wer in den letzten zehn Jahren die Hilfebedürftigkeit vorsätzlich oder grob fahrlässig herbeigeführt hat.</w:t>
      </w:r>
    </w:p>
    <w:p>
      <w:r>
        <w:rPr>
          <w:color w:val="555555"/>
          <w:sz w:val="17"/>
        </w:rPr>
        <w:t xml:space="preserve">Zitiervorschlag: § 41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