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SGB 12 — Verordnungsermächtigung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Das Bundesministerium für Arbeit und Soziales hat im Einvernehmen mit dem Bundesministerium der Finanzen durch Rechtsverordnung mit Zustimmung des Bundesrates</w:t>
      </w:r>
    </w:p>
    <w:p>
      <w:pPr>
        <w:ind w:left="420"/>
      </w:pPr>
      <w:r>
        <w:t xml:space="preserve">1. die für die Fortschreibung der Regelbedarfsstufen nach § 28a und für die Fortschreibung des Teilbetrags nach § 34 Absatz 3a Satz 1 maßgeblichen Prozentsätze zu bestimmen und</w:t>
      </w:r>
    </w:p>
    <w:p>
      <w:pPr>
        <w:ind w:left="420"/>
      </w:pPr>
      <w:r>
        <w:t xml:space="preserve">2. die Anlagen zu den §§ 28 und 34 um die sich durch die Fortschreibung nach Nummer 1 zum 1. Januar eines Jahres ergebenden Regelbedarfsstufen sowie um die sich aus der Fortschreibung nach § 34 Absatz 3a Satz 1 und 2 ergebenden Teilbeträge zu ergänzen.</w:t>
      </w:r>
    </w:p>
    <w:p>
      <w:r>
        <w:t xml:space="preserve">Der Prozentsatz nach Satz 1 Nummer 1 in Verbindung mit § 28a Absatz 3 ist auf zwei Dezimalstellen zu berechnen; die zweite Dezimalstelle ist um eins zu erhöhen, wenn sich in der dritten Dezimalstelle eine der Ziffern von 5 bis 9 ergibt. Der Prozentsatz nach Satz 1 Nummer 1 in Verbindung mit § 28a Absatz 4 ist auf eine Dezimalstelle zu berechnen; die erste Dezimalstelle ist um eins zu erhöhen, wenn sich in der zweiten Dezimalstelle eine der Ziffern von 5 bis 9 ergibt. Die Bestimmungen nach Satz 1 erfolgen bis spätestens zum Ablauf des 31. Oktober des jeweiligen Jahres.</w:t>
      </w:r>
    </w:p>
    <w:p>
      <w:r>
        <w:rPr>
          <w:color w:val="555555"/>
          <w:sz w:val="17"/>
        </w:rPr>
        <w:t xml:space="preserve">Zitiervorschlag: § 40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