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35b SGB 12 — Satzung</w:t>
      </w:r>
    </w:p>
    <w:p>
      <w:r>
        <w:rPr>
          <w:color w:val="555555"/>
          <w:sz w:val="18"/>
        </w:rPr>
        <w:t xml:space="preserve">Sozialgesetzbuch (SGB) Zwölftes Buch (XII) - Sozialhilfe - (Artikel 1 des Gesetzes vom 27. Dezember 2003, BGBl. I S. 3022)</w:t>
      </w:r>
    </w:p>
    <w:p>
      <w:r>
        <w:rPr>
          <w:color w:val="555555"/>
          <w:sz w:val="18"/>
        </w:rPr>
        <w:t xml:space="preserve">Stand: 01.01.2023 (konsolidierte Textfassung, kein amtliches Inkrafttretensdatum)</w:t>
      </w:r>
    </w:p>
    <w:p>
      <w:r>
        <w:t xml:space="preserve">Hat ein Kreis oder eine kreisfreie Stadt eine Satzung nach den §§ 22a bis 22c des Zweiten Buches erlassen, so gilt sie für die Höhe der anzuerkennenden Bedarfe für die Unterkunft nach § 35 Absatz 1 Satz 1, Absatz 3 und § 35a Absatz 2 des zuständigen Trägers der Sozialhilfe entsprechend, sofern darin nach § 22b Absatz 3 des Zweiten Buches Sonderregelungen für Personen mit einem besonderen Bedarf für Unterkunft und Heizung getroffen werden und dabei zusätzlich auch die Bedarfe älterer Menschen berücksichtigt werden. Dies gilt auch für die Höhe der anzuerkennenden Bedarfe für Heizung nach § 35 Absatz 5, soweit die Satzung Bestimmungen nach § 22b Absatz 1 Satz 2 und 3 des Zweiten Buches enthält. In Fällen der Sätze 1 und 2 ist § 35 Absatz 4 und 5 Satz 2 und 3 nicht anzuwenden.</w:t>
      </w:r>
    </w:p>
    <w:p>
      <w:r>
        <w:rPr>
          <w:color w:val="555555"/>
          <w:sz w:val="17"/>
        </w:rPr>
        <w:t xml:space="preserve">Zitiervorschlag: § 35b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