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27c SGB 12 — Sonderregelung für den Lebensunterhalt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Für Leistungsberechtigte, die nicht in einer Wohnung nach § 42a Absatz 2 Satz 1 Nummer 1 und Satz 2 leben, bestimmen sich der notwendige Lebensunterhalt nach Absatz 2 und der weitere notwendige Lebensunterhalt nach Absatz 3, wenn sie</w:t>
      </w:r>
    </w:p>
    <w:p>
      <w:pPr>
        <w:ind w:left="420"/>
      </w:pPr>
      <w:r>
        <w:t xml:space="preserve">1. minderjährig sind und ihnen Leistungen nach Teil 2 des Neunten Buches über Tag und Nacht erbracht werden oder</w:t>
      </w:r>
    </w:p>
    <w:p>
      <w:pPr>
        <w:ind w:left="420"/>
      </w:pPr>
      <w:r>
        <w:t xml:space="preserve">2. volljährig sind und ihnen Leistungen über Tag und Nacht erbracht werden, denen Vereinbarungen nach § 134 Absatz 4 des Neunten Buches zugrunde liegen.</w:t>
      </w:r>
    </w:p>
    <w:p>
      <w:r>
        <w:t xml:space="preserve">(2) Der notwendige Lebensunterhalt nach Absatz 1 umfasst die Bedarfe nach § 27b Absatz 1 Satz 2, darüber hinaus sind Bedarfe für Bildung und Teilhabe nach dem Dritten Abschnitt mit umfasst, soweit nicht entsprechende Leistungen nach § 75 des Neunten Buches erbracht werden.</w:t>
      </w:r>
    </w:p>
    <w:p>
      <w:r>
        <w:t xml:space="preserve">(3) Für den weiteren notwendigen Lebensunterhalt gilt § 27b Absatz 2 bis 4.</w:t>
      </w:r>
    </w:p>
    <w:p>
      <w:r>
        <w:t xml:space="preserve">(4) Der sich nach Absatz 2 ergebende monatliche Betrag für den notwendigen Lebensunterhalt ist bei Leistungsberechtigten nach Absatz 1 Nummer 1 abzüglich der aufzubringenden Mittel nach § 142 Absatz 1 und 2 des Neunten Buches sowie bei Leistungsberechtigten nach Absatz 1 Nummer 2 abzüglich der aufzubringenden Mittel nach § 142 Absatz 3 des Neunten Buches quartalsweise dem für die Leistungen nach Teil 2 des Neunten Buches zuständigen Träger der Eingliederungshilfe zu erstatten.</w:t>
      </w:r>
    </w:p>
    <w:p>
      <w:r>
        <w:rPr>
          <w:color w:val="555555"/>
          <w:sz w:val="17"/>
        </w:rPr>
        <w:t xml:space="preserve">Zitiervorschlag: § 27c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https://recht.nulegal.eu/gesetze/SGB%2012/27c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