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SGB 12 — Sofortzuschlag</w:t>
      </w:r>
    </w:p>
    <w:p>
      <w:r>
        <w:rPr>
          <w:color w:val="555555"/>
          <w:sz w:val="18"/>
        </w:rPr>
        <w:t xml:space="preserve">Sozialgesetzbuch (SGB) Zwölftes Buch (XII) - Sozialhilfe - (Artikel 1 des Gesetzes vom 27. Dezember 2003, BGBl. I S. 3022)</w:t>
      </w:r>
    </w:p>
    <w:p>
      <w:r>
        <w:rPr>
          <w:color w:val="555555"/>
          <w:sz w:val="18"/>
        </w:rPr>
        <w:t xml:space="preserve">Stand: 01.01.2025 (konsolidierte Textfassung, kein amtliches Inkrafttretensdatum)</w:t>
      </w:r>
    </w:p>
    <w:p>
      <w:r>
        <w:t xml:space="preserve">(1) Minderjährige, die einen Anspruch auf Leistungen nach dem Dritten Kapitel haben, dem ein Regelsatz nach der Regelbedarfsstufe 4, 5 oder 6 zugrunde liegt, haben Anspruch auf einen monatlichen Sofortzuschlag in Höhe von 25 Euro. Anspruch auf den Sofortzuschlag besteht für Minderjährige auch dann, wenn sie</w:t>
      </w:r>
    </w:p>
    <w:p>
      <w:pPr>
        <w:ind w:left="420"/>
      </w:pPr>
      <w:r>
        <w:t xml:space="preserve">1. einen Anspruch auf Leistungen nach § 34 haben oder</w:t>
      </w:r>
    </w:p>
    <w:p>
      <w:pPr>
        <w:ind w:left="420"/>
      </w:pPr>
      <w:r>
        <w:t xml:space="preserve">2. einen Anspruch nach Satz 1 oder Nummer 1 nur deshalb nicht haben, weil Kindergeld nach § 82 Absatz 1 Satz 4 berücksichtigt wird.</w:t>
      </w:r>
    </w:p>
    <w:p>
      <w:r>
        <w:t xml:space="preserve">Der Sofortzuschlag wird erstmalig für den Monat Juli 2022 erbracht.</w:t>
      </w:r>
    </w:p>
    <w:p>
      <w:r>
        <w:t xml:space="preserve">(2) Wird die Entscheidung über die Bewilligung der Leistungen nach Absatz 1 Satz 1 und 2 Nummer 1 rückwirkend geändert oder fällt diese rückwirkend weg, erfolgt keine rückwirkende Aufhebung der Bewilligung und keine Aufhebung des Sofortzuschlages. Dies gilt auch, wenn sich nachträglich ergibt, dass innerhalb des Bewilligungszeitraums, für den der Sofortzuschlag bereits festgesetzt ist, kein Anspruch auf Leistungen nach Absatz 1 Satz 1 und 2 Nummer 1 besteht.</w:t>
      </w:r>
    </w:p>
    <w:p>
      <w:r>
        <w:t xml:space="preserve">(3) § 17 Absatz 1 Satz 2 gilt auch für den Anspruch auf den Sofortzuschlag.</w:t>
      </w:r>
    </w:p>
    <w:p>
      <w:r>
        <w:t xml:space="preserve">(4) Die für die Ausführung der Absätze 1 bis 3 zuständigen Träger werden nach Landesrecht bestimmt. Die §§ 3, 6 und 7 sind nicht anzuwenden.</w:t>
      </w:r>
    </w:p>
    <w:p>
      <w:r>
        <w:rPr>
          <w:color w:val="555555"/>
          <w:sz w:val="17"/>
        </w:rPr>
        <w:t xml:space="preserve">Zitiervorschlag: § 145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